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8F" w:rsidRPr="00AD24D5" w:rsidRDefault="008C0487" w:rsidP="008C0487">
      <w:pPr>
        <w:spacing w:after="0"/>
        <w:jc w:val="center"/>
        <w:rPr>
          <w:rFonts w:ascii="Georgia" w:hAnsi="Georgia"/>
          <w:color w:val="002060"/>
          <w:sz w:val="32"/>
          <w:szCs w:val="32"/>
        </w:rPr>
      </w:pPr>
      <w:bookmarkStart w:id="0" w:name="_GoBack"/>
      <w:bookmarkEnd w:id="0"/>
      <w:r w:rsidRPr="00AD24D5">
        <w:rPr>
          <w:rFonts w:ascii="Georgia" w:hAnsi="Georgia"/>
          <w:color w:val="002060"/>
          <w:sz w:val="32"/>
          <w:szCs w:val="32"/>
        </w:rPr>
        <w:t>A New Vision for Science Education Using STEAM</w:t>
      </w:r>
    </w:p>
    <w:p w:rsidR="008C0487" w:rsidRDefault="008C0487" w:rsidP="00984F8D">
      <w:pPr>
        <w:spacing w:after="0"/>
        <w:jc w:val="center"/>
        <w:rPr>
          <w:rFonts w:ascii="Georgia" w:hAnsi="Georgia"/>
          <w:sz w:val="24"/>
          <w:szCs w:val="32"/>
        </w:rPr>
      </w:pPr>
      <w:r>
        <w:rPr>
          <w:rFonts w:ascii="Georgia" w:hAnsi="Georgia"/>
          <w:sz w:val="24"/>
          <w:szCs w:val="32"/>
        </w:rPr>
        <w:t>Phase-by-phas</w:t>
      </w:r>
      <w:r w:rsidR="00984F8D">
        <w:rPr>
          <w:rFonts w:ascii="Georgia" w:hAnsi="Georgia"/>
          <w:sz w:val="24"/>
          <w:szCs w:val="32"/>
        </w:rPr>
        <w:t>e Roll Out for School Districts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E047B" w:rsidTr="006F5251">
        <w:tc>
          <w:tcPr>
            <w:tcW w:w="4392" w:type="dxa"/>
            <w:tcBorders>
              <w:bottom w:val="dashed" w:sz="4" w:space="0" w:color="auto"/>
            </w:tcBorders>
            <w:shd w:val="clear" w:color="auto" w:fill="C6D9F1" w:themeFill="text2" w:themeFillTint="33"/>
          </w:tcPr>
          <w:p w:rsidR="006E047B" w:rsidRDefault="007C70C7" w:rsidP="007C70C7">
            <w:pPr>
              <w:jc w:val="center"/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Phase 1</w:t>
            </w:r>
          </w:p>
          <w:p w:rsidR="007C70C7" w:rsidRDefault="007C70C7" w:rsidP="007C70C7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7C70C7">
              <w:rPr>
                <w:rFonts w:ascii="Georgia" w:hAnsi="Georgia"/>
                <w:b/>
                <w:sz w:val="28"/>
                <w:szCs w:val="32"/>
              </w:rPr>
              <w:t>STEAM Awareness and Understanding</w:t>
            </w:r>
          </w:p>
          <w:p w:rsidR="007C70C7" w:rsidRPr="007C70C7" w:rsidRDefault="007C70C7" w:rsidP="007C70C7">
            <w:pPr>
              <w:jc w:val="center"/>
              <w:rPr>
                <w:rFonts w:ascii="Georgia" w:hAnsi="Georgia"/>
                <w:b/>
                <w:sz w:val="24"/>
                <w:szCs w:val="32"/>
              </w:rPr>
            </w:pPr>
          </w:p>
        </w:tc>
        <w:tc>
          <w:tcPr>
            <w:tcW w:w="4392" w:type="dxa"/>
            <w:tcBorders>
              <w:bottom w:val="dashed" w:sz="4" w:space="0" w:color="auto"/>
            </w:tcBorders>
            <w:shd w:val="clear" w:color="auto" w:fill="FBD4B4" w:themeFill="accent6" w:themeFillTint="66"/>
          </w:tcPr>
          <w:p w:rsidR="006E047B" w:rsidRDefault="007C70C7" w:rsidP="007C70C7">
            <w:pPr>
              <w:jc w:val="center"/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Phase 2</w:t>
            </w:r>
          </w:p>
          <w:p w:rsidR="007C70C7" w:rsidRDefault="007C70C7" w:rsidP="007C70C7">
            <w:pPr>
              <w:jc w:val="center"/>
              <w:rPr>
                <w:rFonts w:ascii="Georgia" w:hAnsi="Georgia"/>
                <w:sz w:val="24"/>
                <w:szCs w:val="32"/>
              </w:rPr>
            </w:pPr>
            <w:r w:rsidRPr="007C70C7">
              <w:rPr>
                <w:rFonts w:ascii="Georgia" w:hAnsi="Georgia"/>
                <w:b/>
                <w:sz w:val="28"/>
                <w:szCs w:val="32"/>
              </w:rPr>
              <w:t>Connecting Using STEAM</w:t>
            </w:r>
          </w:p>
        </w:tc>
        <w:tc>
          <w:tcPr>
            <w:tcW w:w="4392" w:type="dxa"/>
            <w:tcBorders>
              <w:bottom w:val="dashed" w:sz="4" w:space="0" w:color="auto"/>
            </w:tcBorders>
            <w:shd w:val="clear" w:color="auto" w:fill="C2D69B" w:themeFill="accent3" w:themeFillTint="99"/>
          </w:tcPr>
          <w:p w:rsidR="006E047B" w:rsidRDefault="007C70C7" w:rsidP="007C70C7">
            <w:pPr>
              <w:jc w:val="center"/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Phase 3</w:t>
            </w:r>
          </w:p>
          <w:p w:rsidR="007C70C7" w:rsidRDefault="007C70C7" w:rsidP="007C70C7">
            <w:pPr>
              <w:jc w:val="center"/>
              <w:rPr>
                <w:rFonts w:ascii="Georgia" w:hAnsi="Georgia"/>
                <w:sz w:val="24"/>
                <w:szCs w:val="32"/>
              </w:rPr>
            </w:pPr>
            <w:r w:rsidRPr="007C70C7">
              <w:rPr>
                <w:rFonts w:ascii="Georgia" w:hAnsi="Georgia"/>
                <w:b/>
                <w:sz w:val="28"/>
                <w:szCs w:val="32"/>
              </w:rPr>
              <w:t>Teaching and Assessing STEAM</w:t>
            </w:r>
          </w:p>
        </w:tc>
      </w:tr>
      <w:tr w:rsidR="006F5251" w:rsidTr="006F5251">
        <w:tc>
          <w:tcPr>
            <w:tcW w:w="4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6D9F1" w:themeFill="text2" w:themeFillTint="33"/>
          </w:tcPr>
          <w:p w:rsidR="006E047B" w:rsidRDefault="007C70C7" w:rsidP="007C70C7">
            <w:pPr>
              <w:jc w:val="center"/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2014-2015</w:t>
            </w:r>
          </w:p>
        </w:tc>
        <w:tc>
          <w:tcPr>
            <w:tcW w:w="4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BD4B4" w:themeFill="accent6" w:themeFillTint="66"/>
          </w:tcPr>
          <w:p w:rsidR="006E047B" w:rsidRDefault="007C70C7" w:rsidP="007C70C7">
            <w:pPr>
              <w:jc w:val="center"/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2015-2016</w:t>
            </w:r>
          </w:p>
        </w:tc>
        <w:tc>
          <w:tcPr>
            <w:tcW w:w="4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2D69B" w:themeFill="accent3" w:themeFillTint="99"/>
          </w:tcPr>
          <w:p w:rsidR="006E047B" w:rsidRDefault="007C70C7" w:rsidP="007C70C7">
            <w:pPr>
              <w:jc w:val="center"/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2016-2017</w:t>
            </w:r>
          </w:p>
        </w:tc>
      </w:tr>
      <w:tr w:rsidR="006E047B" w:rsidTr="006F5251">
        <w:tc>
          <w:tcPr>
            <w:tcW w:w="4392" w:type="dxa"/>
            <w:tcBorders>
              <w:top w:val="dashed" w:sz="4" w:space="0" w:color="auto"/>
            </w:tcBorders>
            <w:shd w:val="clear" w:color="auto" w:fill="C6D9F1" w:themeFill="text2" w:themeFillTint="33"/>
          </w:tcPr>
          <w:p w:rsidR="006E047B" w:rsidRDefault="00144BD5" w:rsidP="00144BD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Defin</w:t>
            </w:r>
            <w:r w:rsidR="00EB7FDC">
              <w:rPr>
                <w:rFonts w:ascii="Georgia" w:hAnsi="Georgia"/>
                <w:sz w:val="24"/>
                <w:szCs w:val="32"/>
              </w:rPr>
              <w:t>e</w:t>
            </w:r>
            <w:r>
              <w:rPr>
                <w:rFonts w:ascii="Georgia" w:hAnsi="Georgia"/>
                <w:sz w:val="24"/>
                <w:szCs w:val="32"/>
              </w:rPr>
              <w:t xml:space="preserve"> STEAM</w:t>
            </w:r>
          </w:p>
          <w:p w:rsidR="00144BD5" w:rsidRDefault="00EB7FDC" w:rsidP="00144BD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Work to u</w:t>
            </w:r>
            <w:r w:rsidR="00144BD5">
              <w:rPr>
                <w:rFonts w:ascii="Georgia" w:hAnsi="Georgia"/>
                <w:sz w:val="24"/>
                <w:szCs w:val="32"/>
              </w:rPr>
              <w:t>nderstand STEAM parts and processes</w:t>
            </w:r>
          </w:p>
          <w:p w:rsidR="00144BD5" w:rsidRDefault="00EB7FDC" w:rsidP="00144BD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Work to u</w:t>
            </w:r>
            <w:r w:rsidR="00144BD5">
              <w:rPr>
                <w:rFonts w:ascii="Georgia" w:hAnsi="Georgia"/>
                <w:sz w:val="24"/>
                <w:szCs w:val="32"/>
              </w:rPr>
              <w:t>nderstanding vertical progressions and how it connects to current standards.</w:t>
            </w:r>
          </w:p>
          <w:p w:rsidR="00144BD5" w:rsidRPr="00144BD5" w:rsidRDefault="00144BD5" w:rsidP="00EB7FD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 xml:space="preserve">Identify willing participants. </w:t>
            </w:r>
          </w:p>
        </w:tc>
        <w:tc>
          <w:tcPr>
            <w:tcW w:w="4392" w:type="dxa"/>
            <w:tcBorders>
              <w:top w:val="dashed" w:sz="4" w:space="0" w:color="auto"/>
            </w:tcBorders>
            <w:shd w:val="clear" w:color="auto" w:fill="FBD4B4" w:themeFill="accent6" w:themeFillTint="66"/>
          </w:tcPr>
          <w:p w:rsidR="006E047B" w:rsidRDefault="00144BD5" w:rsidP="00144BD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Auditing the current district science program relative to STEAM</w:t>
            </w:r>
          </w:p>
          <w:p w:rsidR="00144BD5" w:rsidRDefault="00EB7FDC" w:rsidP="00EB7FD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Instructional pedagogy</w:t>
            </w:r>
          </w:p>
          <w:p w:rsidR="00EB7FDC" w:rsidRDefault="00EB7FDC" w:rsidP="00EB7FD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Curriculum</w:t>
            </w:r>
          </w:p>
          <w:p w:rsidR="00EB7FDC" w:rsidRDefault="00EB7FDC" w:rsidP="00EB7FD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Resources</w:t>
            </w:r>
          </w:p>
          <w:p w:rsidR="00EB7FDC" w:rsidRDefault="00EB7FDC" w:rsidP="00EB7FD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Classroom Environment</w:t>
            </w:r>
          </w:p>
          <w:p w:rsidR="00EB7FDC" w:rsidRDefault="00EB7FDC" w:rsidP="00EB7FD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School culture</w:t>
            </w:r>
          </w:p>
          <w:p w:rsidR="00EB7FDC" w:rsidRDefault="00EB7FDC" w:rsidP="00EB7FD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Program and course structure</w:t>
            </w:r>
          </w:p>
          <w:p w:rsidR="00EB7FDC" w:rsidRDefault="00EB7FDC" w:rsidP="00EB7FD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 xml:space="preserve">Summative, Interim and formative assessment </w:t>
            </w:r>
          </w:p>
          <w:p w:rsidR="00EB7FDC" w:rsidRDefault="00EB7FDC" w:rsidP="00EB7FD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Based on the audit, make recommendations for continuous improvement.</w:t>
            </w:r>
          </w:p>
          <w:p w:rsidR="00CE630B" w:rsidRDefault="00EB7FDC" w:rsidP="00EB7FD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Design and build the district STEAM based science program.</w:t>
            </w:r>
          </w:p>
          <w:p w:rsidR="00EB7FDC" w:rsidRPr="00CE630B" w:rsidRDefault="00EB7FDC" w:rsidP="00CE630B">
            <w:pPr>
              <w:ind w:left="360"/>
              <w:rPr>
                <w:rFonts w:ascii="Georgia" w:hAnsi="Georgia"/>
                <w:sz w:val="24"/>
                <w:szCs w:val="32"/>
              </w:rPr>
            </w:pPr>
            <w:r w:rsidRPr="00CE630B">
              <w:rPr>
                <w:rFonts w:ascii="Georgia" w:hAnsi="Georgia"/>
                <w:sz w:val="24"/>
                <w:szCs w:val="32"/>
              </w:rPr>
              <w:t xml:space="preserve"> </w:t>
            </w:r>
          </w:p>
        </w:tc>
        <w:tc>
          <w:tcPr>
            <w:tcW w:w="4392" w:type="dxa"/>
            <w:tcBorders>
              <w:top w:val="dashed" w:sz="4" w:space="0" w:color="auto"/>
            </w:tcBorders>
            <w:shd w:val="clear" w:color="auto" w:fill="C2D69B" w:themeFill="accent3" w:themeFillTint="99"/>
          </w:tcPr>
          <w:p w:rsidR="00EB7FDC" w:rsidRDefault="00EB7FDC" w:rsidP="00EB7FD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 xml:space="preserve">Plan and implement instructional practices to engage students in learning STEAM based science. </w:t>
            </w:r>
          </w:p>
          <w:p w:rsidR="00EB7FDC" w:rsidRDefault="00EB7FDC" w:rsidP="00EB7FD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 xml:space="preserve">Plan and implement assessments that ensure that students demonstrate grade level/ band performance expectations.  </w:t>
            </w:r>
          </w:p>
          <w:p w:rsidR="00EB7FDC" w:rsidRDefault="00EB7FDC" w:rsidP="00EB7FD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 xml:space="preserve">Analyze data from STEAM based assessments for continuous programmatic improvement. </w:t>
            </w:r>
          </w:p>
          <w:p w:rsidR="00EB7FDC" w:rsidRPr="00EB7FDC" w:rsidRDefault="00EB7FDC" w:rsidP="00EB7FD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 xml:space="preserve">Analyze data from relevant course state tests for continuous programmatic improvement.  </w:t>
            </w:r>
          </w:p>
        </w:tc>
      </w:tr>
      <w:tr w:rsidR="006E047B" w:rsidTr="006F5251">
        <w:tc>
          <w:tcPr>
            <w:tcW w:w="13176" w:type="dxa"/>
            <w:gridSpan w:val="3"/>
            <w:shd w:val="clear" w:color="auto" w:fill="FFFFFF" w:themeFill="background1"/>
          </w:tcPr>
          <w:p w:rsidR="006E047B" w:rsidRPr="00EB7FDC" w:rsidRDefault="00EB7FDC" w:rsidP="00EB7FDC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EB7FDC">
              <w:rPr>
                <w:rFonts w:ascii="Georgia" w:hAnsi="Georgia"/>
                <w:b/>
                <w:sz w:val="28"/>
                <w:szCs w:val="32"/>
              </w:rPr>
              <w:t>Ongoing Professional Learning</w:t>
            </w:r>
          </w:p>
          <w:p w:rsidR="00EB7FDC" w:rsidRPr="00EB7FDC" w:rsidRDefault="00EB7FDC" w:rsidP="00EB7FDC">
            <w:pPr>
              <w:rPr>
                <w:rFonts w:ascii="Georgia" w:hAnsi="Georgia"/>
                <w:b/>
                <w:sz w:val="24"/>
                <w:szCs w:val="32"/>
              </w:rPr>
            </w:pPr>
            <w:r>
              <w:rPr>
                <w:rFonts w:ascii="Georgia" w:hAnsi="Georgia"/>
                <w:b/>
                <w:sz w:val="24"/>
                <w:szCs w:val="32"/>
              </w:rPr>
              <w:t xml:space="preserve">Beginning with an understanding of STEAM by all educators, districts should ensure that ongoing professional development supports science education using STEAM and pedagogy associated.  </w:t>
            </w:r>
            <w:r w:rsidR="003654D5">
              <w:rPr>
                <w:rFonts w:ascii="Georgia" w:hAnsi="Georgia"/>
                <w:b/>
                <w:sz w:val="24"/>
                <w:szCs w:val="32"/>
              </w:rPr>
              <w:t xml:space="preserve">This learning should develop knowledge and understanding about content, pedagogy, interdisciplinary connections and school/ classroom environments that foster coherent science programming.  </w:t>
            </w:r>
            <w:r>
              <w:rPr>
                <w:rFonts w:ascii="Georgia" w:hAnsi="Georgia"/>
                <w:b/>
                <w:sz w:val="24"/>
                <w:szCs w:val="32"/>
              </w:rPr>
              <w:t xml:space="preserve">  </w:t>
            </w:r>
          </w:p>
        </w:tc>
      </w:tr>
    </w:tbl>
    <w:p w:rsidR="008C0487" w:rsidRPr="008C0487" w:rsidRDefault="008C0487" w:rsidP="008C0487">
      <w:pPr>
        <w:rPr>
          <w:rFonts w:ascii="Georgia" w:hAnsi="Georgia"/>
          <w:sz w:val="24"/>
          <w:szCs w:val="32"/>
        </w:rPr>
      </w:pPr>
    </w:p>
    <w:sectPr w:rsidR="008C0487" w:rsidRPr="008C0487" w:rsidSect="008C048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C3" w:rsidRDefault="00A250C3" w:rsidP="008C0487">
      <w:pPr>
        <w:spacing w:after="0" w:line="240" w:lineRule="auto"/>
      </w:pPr>
      <w:r>
        <w:separator/>
      </w:r>
    </w:p>
  </w:endnote>
  <w:endnote w:type="continuationSeparator" w:id="0">
    <w:p w:rsidR="00A250C3" w:rsidRDefault="00A250C3" w:rsidP="008C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87" w:rsidRDefault="008C0487">
    <w:pPr>
      <w:pStyle w:val="Footer"/>
    </w:pPr>
    <w:r>
      <w:rPr>
        <w:rFonts w:ascii="Helv" w:hAnsi="Helv" w:cs="Helv"/>
        <w:color w:val="000000"/>
        <w:sz w:val="20"/>
        <w:szCs w:val="20"/>
      </w:rPr>
      <w:t xml:space="preserve">Copyright </w:t>
    </w:r>
    <w:r>
      <w:rPr>
        <w:rFonts w:ascii="Arial" w:hAnsi="Arial" w:cs="Arial"/>
        <w:color w:val="000000"/>
        <w:sz w:val="20"/>
        <w:szCs w:val="20"/>
      </w:rPr>
      <w:t>©</w:t>
    </w:r>
    <w:r>
      <w:rPr>
        <w:rFonts w:ascii="Helv" w:hAnsi="Helv" w:cs="Helv"/>
        <w:color w:val="000000"/>
        <w:sz w:val="20"/>
        <w:szCs w:val="20"/>
      </w:rPr>
      <w:t xml:space="preserve"> 2014 by Erie 1 BOCES</w:t>
    </w:r>
  </w:p>
  <w:p w:rsidR="008C0487" w:rsidRDefault="008C0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C3" w:rsidRDefault="00A250C3" w:rsidP="008C0487">
      <w:pPr>
        <w:spacing w:after="0" w:line="240" w:lineRule="auto"/>
      </w:pPr>
      <w:r>
        <w:separator/>
      </w:r>
    </w:p>
  </w:footnote>
  <w:footnote w:type="continuationSeparator" w:id="0">
    <w:p w:rsidR="00A250C3" w:rsidRDefault="00A250C3" w:rsidP="008C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10B"/>
    <w:multiLevelType w:val="hybridMultilevel"/>
    <w:tmpl w:val="0D66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0BB4"/>
    <w:multiLevelType w:val="hybridMultilevel"/>
    <w:tmpl w:val="307C8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4E427C"/>
    <w:multiLevelType w:val="hybridMultilevel"/>
    <w:tmpl w:val="890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7"/>
    <w:rsid w:val="00144BD5"/>
    <w:rsid w:val="0032660E"/>
    <w:rsid w:val="003654D5"/>
    <w:rsid w:val="00633CDF"/>
    <w:rsid w:val="006E047B"/>
    <w:rsid w:val="006F5251"/>
    <w:rsid w:val="007C70C7"/>
    <w:rsid w:val="008C0487"/>
    <w:rsid w:val="00984F8D"/>
    <w:rsid w:val="00A250C3"/>
    <w:rsid w:val="00AD24D5"/>
    <w:rsid w:val="00CE630B"/>
    <w:rsid w:val="00EB7FDC"/>
    <w:rsid w:val="00F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87"/>
  </w:style>
  <w:style w:type="paragraph" w:styleId="Footer">
    <w:name w:val="footer"/>
    <w:basedOn w:val="Normal"/>
    <w:link w:val="FooterChar"/>
    <w:uiPriority w:val="99"/>
    <w:unhideWhenUsed/>
    <w:rsid w:val="008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87"/>
  </w:style>
  <w:style w:type="paragraph" w:styleId="BalloonText">
    <w:name w:val="Balloon Text"/>
    <w:basedOn w:val="Normal"/>
    <w:link w:val="BalloonTextChar"/>
    <w:uiPriority w:val="99"/>
    <w:semiHidden/>
    <w:unhideWhenUsed/>
    <w:rsid w:val="008C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E04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E04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E04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4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87"/>
  </w:style>
  <w:style w:type="paragraph" w:styleId="Footer">
    <w:name w:val="footer"/>
    <w:basedOn w:val="Normal"/>
    <w:link w:val="FooterChar"/>
    <w:uiPriority w:val="99"/>
    <w:unhideWhenUsed/>
    <w:rsid w:val="008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87"/>
  </w:style>
  <w:style w:type="paragraph" w:styleId="BalloonText">
    <w:name w:val="Balloon Text"/>
    <w:basedOn w:val="Normal"/>
    <w:link w:val="BalloonTextChar"/>
    <w:uiPriority w:val="99"/>
    <w:semiHidden/>
    <w:unhideWhenUsed/>
    <w:rsid w:val="008C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E04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E04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E04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4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2</cp:revision>
  <dcterms:created xsi:type="dcterms:W3CDTF">2014-07-11T16:10:00Z</dcterms:created>
  <dcterms:modified xsi:type="dcterms:W3CDTF">2014-07-11T16:10:00Z</dcterms:modified>
</cp:coreProperties>
</file>