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A4" w:rsidRDefault="00C477A4"/>
    <w:p w:rsidR="00B43DB2" w:rsidRDefault="00B43DB2"/>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510"/>
        <w:gridCol w:w="9630"/>
      </w:tblGrid>
      <w:tr w:rsidR="00B43DB2" w:rsidTr="00F3734E">
        <w:tc>
          <w:tcPr>
            <w:tcW w:w="14868" w:type="dxa"/>
            <w:gridSpan w:val="3"/>
            <w:tcBorders>
              <w:bottom w:val="single" w:sz="4" w:space="0" w:color="auto"/>
            </w:tcBorders>
            <w:shd w:val="clear" w:color="auto" w:fill="auto"/>
          </w:tcPr>
          <w:p w:rsidR="00B43DB2" w:rsidRPr="00B43DB2" w:rsidRDefault="00B43DB2" w:rsidP="00F3734E">
            <w:pPr>
              <w:rPr>
                <w:sz w:val="56"/>
                <w:szCs w:val="56"/>
              </w:rPr>
            </w:pPr>
            <w:r w:rsidRPr="00B43DB2">
              <w:rPr>
                <w:rFonts w:ascii="Calibri,Bold" w:hAnsi="Calibri,Bold" w:cs="Calibri,Bold"/>
                <w:b/>
                <w:bCs/>
                <w:sz w:val="56"/>
                <w:szCs w:val="56"/>
              </w:rPr>
              <w:t>Shifts in Math</w:t>
            </w:r>
          </w:p>
        </w:tc>
      </w:tr>
      <w:tr w:rsidR="00B43DB2" w:rsidRPr="00B43DB2" w:rsidTr="00F3734E">
        <w:trPr>
          <w:trHeight w:val="1007"/>
        </w:trPr>
        <w:tc>
          <w:tcPr>
            <w:tcW w:w="1728" w:type="dxa"/>
            <w:tcBorders>
              <w:bottom w:val="single" w:sz="4" w:space="0" w:color="auto"/>
            </w:tcBorders>
            <w:shd w:val="clear" w:color="auto" w:fill="FFFF99"/>
            <w:vAlign w:val="center"/>
          </w:tcPr>
          <w:p w:rsidR="00B43DB2" w:rsidRPr="00B43DB2" w:rsidRDefault="00B43DB2" w:rsidP="00F3734E">
            <w:pPr>
              <w:rPr>
                <w:rFonts w:asciiTheme="majorHAnsi" w:hAnsiTheme="majorHAnsi"/>
                <w:sz w:val="28"/>
                <w:szCs w:val="28"/>
              </w:rPr>
            </w:pPr>
            <w:r w:rsidRPr="00B43DB2">
              <w:rPr>
                <w:rFonts w:asciiTheme="majorHAnsi" w:hAnsiTheme="majorHAnsi" w:cs="Calibri,Bold"/>
                <w:b/>
                <w:bCs/>
                <w:sz w:val="28"/>
                <w:szCs w:val="28"/>
              </w:rPr>
              <w:t xml:space="preserve">Shift 1 </w:t>
            </w:r>
          </w:p>
        </w:tc>
        <w:tc>
          <w:tcPr>
            <w:tcW w:w="3510" w:type="dxa"/>
            <w:tcBorders>
              <w:bottom w:val="single" w:sz="4" w:space="0" w:color="auto"/>
            </w:tcBorders>
            <w:shd w:val="clear" w:color="auto" w:fill="FFFF99"/>
            <w:vAlign w:val="center"/>
          </w:tcPr>
          <w:p w:rsidR="00B43DB2" w:rsidRPr="00B43DB2" w:rsidRDefault="00B43DB2" w:rsidP="00F3734E">
            <w:pPr>
              <w:rPr>
                <w:rFonts w:asciiTheme="majorHAnsi" w:hAnsiTheme="majorHAnsi"/>
                <w:sz w:val="28"/>
                <w:szCs w:val="28"/>
              </w:rPr>
            </w:pPr>
            <w:r w:rsidRPr="00B43DB2">
              <w:rPr>
                <w:rFonts w:asciiTheme="majorHAnsi" w:hAnsiTheme="majorHAnsi" w:cs="Calibri,Bold"/>
                <w:b/>
                <w:bCs/>
                <w:sz w:val="28"/>
                <w:szCs w:val="28"/>
              </w:rPr>
              <w:t>Focus</w:t>
            </w:r>
          </w:p>
        </w:tc>
        <w:tc>
          <w:tcPr>
            <w:tcW w:w="9630" w:type="dxa"/>
            <w:tcBorders>
              <w:bottom w:val="single" w:sz="4" w:space="0" w:color="auto"/>
            </w:tcBorders>
            <w:shd w:val="clear" w:color="auto" w:fill="FFFF99"/>
            <w:vAlign w:val="center"/>
          </w:tcPr>
          <w:p w:rsidR="00B43DB2" w:rsidRPr="00B43DB2" w:rsidRDefault="00B43DB2" w:rsidP="00F3734E">
            <w:pPr>
              <w:rPr>
                <w:rFonts w:asciiTheme="majorHAnsi" w:hAnsiTheme="majorHAnsi"/>
                <w:sz w:val="28"/>
                <w:szCs w:val="28"/>
              </w:rPr>
            </w:pPr>
            <w:r w:rsidRPr="00B43DB2">
              <w:rPr>
                <w:rFonts w:asciiTheme="majorHAnsi" w:hAnsiTheme="majorHAnsi" w:cs="Calibri"/>
                <w:sz w:val="28"/>
                <w:szCs w:val="28"/>
              </w:rPr>
              <w:t>Teachers significantly narrow and deepen the scope of how time and energy is spent in the math classroom. They do so in order to focus deeply on only the concepts that are prioritized in the standards.</w:t>
            </w:r>
          </w:p>
        </w:tc>
      </w:tr>
      <w:tr w:rsidR="00B43DB2" w:rsidRPr="00B43DB2" w:rsidTr="00F3734E">
        <w:trPr>
          <w:trHeight w:val="1070"/>
        </w:trPr>
        <w:tc>
          <w:tcPr>
            <w:tcW w:w="1728" w:type="dxa"/>
            <w:tcBorders>
              <w:bottom w:val="single" w:sz="4" w:space="0" w:color="auto"/>
            </w:tcBorders>
            <w:shd w:val="clear" w:color="auto" w:fill="FFCC99"/>
            <w:vAlign w:val="center"/>
          </w:tcPr>
          <w:p w:rsidR="00B43DB2" w:rsidRPr="00B43DB2" w:rsidRDefault="00B43DB2" w:rsidP="00F3734E">
            <w:pPr>
              <w:rPr>
                <w:rFonts w:asciiTheme="majorHAnsi" w:hAnsiTheme="majorHAnsi"/>
                <w:sz w:val="28"/>
                <w:szCs w:val="28"/>
              </w:rPr>
            </w:pPr>
            <w:r w:rsidRPr="00B43DB2">
              <w:rPr>
                <w:rFonts w:asciiTheme="majorHAnsi" w:hAnsiTheme="majorHAnsi" w:cs="Calibri,Bold"/>
                <w:b/>
                <w:bCs/>
                <w:sz w:val="28"/>
                <w:szCs w:val="28"/>
              </w:rPr>
              <w:t>Shift 2</w:t>
            </w:r>
          </w:p>
        </w:tc>
        <w:tc>
          <w:tcPr>
            <w:tcW w:w="3510" w:type="dxa"/>
            <w:tcBorders>
              <w:bottom w:val="single" w:sz="4" w:space="0" w:color="auto"/>
            </w:tcBorders>
            <w:shd w:val="clear" w:color="auto" w:fill="FFCC99"/>
            <w:vAlign w:val="center"/>
          </w:tcPr>
          <w:p w:rsidR="00B43DB2" w:rsidRPr="00B43DB2" w:rsidRDefault="00B43DB2" w:rsidP="00F3734E">
            <w:pPr>
              <w:rPr>
                <w:rFonts w:asciiTheme="majorHAnsi" w:hAnsiTheme="majorHAnsi"/>
                <w:sz w:val="28"/>
                <w:szCs w:val="28"/>
              </w:rPr>
            </w:pPr>
            <w:r w:rsidRPr="00B43DB2">
              <w:rPr>
                <w:rFonts w:asciiTheme="majorHAnsi" w:hAnsiTheme="majorHAnsi" w:cs="Calibri,Bold"/>
                <w:b/>
                <w:bCs/>
                <w:sz w:val="28"/>
                <w:szCs w:val="28"/>
              </w:rPr>
              <w:t>Coherence</w:t>
            </w:r>
          </w:p>
        </w:tc>
        <w:tc>
          <w:tcPr>
            <w:tcW w:w="9630" w:type="dxa"/>
            <w:tcBorders>
              <w:bottom w:val="single" w:sz="4" w:space="0" w:color="auto"/>
            </w:tcBorders>
            <w:shd w:val="clear" w:color="auto" w:fill="FFCC99"/>
            <w:vAlign w:val="center"/>
          </w:tcPr>
          <w:p w:rsidR="00B43DB2" w:rsidRPr="00B43DB2" w:rsidRDefault="00B43DB2" w:rsidP="00F3734E">
            <w:pPr>
              <w:rPr>
                <w:rFonts w:asciiTheme="majorHAnsi" w:hAnsiTheme="majorHAnsi"/>
                <w:sz w:val="28"/>
                <w:szCs w:val="28"/>
              </w:rPr>
            </w:pPr>
            <w:r w:rsidRPr="00B43DB2">
              <w:rPr>
                <w:rFonts w:asciiTheme="majorHAnsi" w:hAnsiTheme="majorHAnsi" w:cs="Calibri"/>
                <w:sz w:val="28"/>
                <w:szCs w:val="28"/>
              </w:rPr>
              <w:t>Principals and teachers carefully connect the learning within and across grades so that students can build new understanding onto foundations built in previous years.</w:t>
            </w:r>
          </w:p>
        </w:tc>
      </w:tr>
      <w:tr w:rsidR="00B43DB2" w:rsidRPr="00B43DB2" w:rsidTr="00F3734E">
        <w:trPr>
          <w:trHeight w:val="1250"/>
        </w:trPr>
        <w:tc>
          <w:tcPr>
            <w:tcW w:w="1728" w:type="dxa"/>
            <w:tcBorders>
              <w:bottom w:val="single" w:sz="4" w:space="0" w:color="auto"/>
            </w:tcBorders>
            <w:shd w:val="clear" w:color="auto" w:fill="CCFFFF"/>
            <w:vAlign w:val="center"/>
          </w:tcPr>
          <w:p w:rsidR="00B43DB2" w:rsidRPr="00B43DB2" w:rsidRDefault="00B43DB2" w:rsidP="00F3734E">
            <w:pPr>
              <w:rPr>
                <w:rFonts w:asciiTheme="majorHAnsi" w:hAnsiTheme="majorHAnsi"/>
                <w:sz w:val="28"/>
                <w:szCs w:val="28"/>
              </w:rPr>
            </w:pPr>
            <w:r w:rsidRPr="00B43DB2">
              <w:rPr>
                <w:rFonts w:asciiTheme="majorHAnsi" w:hAnsiTheme="majorHAnsi" w:cs="Calibri,Bold"/>
                <w:b/>
                <w:bCs/>
                <w:sz w:val="28"/>
                <w:szCs w:val="28"/>
              </w:rPr>
              <w:t>Shift 3</w:t>
            </w:r>
          </w:p>
        </w:tc>
        <w:tc>
          <w:tcPr>
            <w:tcW w:w="3510" w:type="dxa"/>
            <w:tcBorders>
              <w:bottom w:val="single" w:sz="4" w:space="0" w:color="auto"/>
            </w:tcBorders>
            <w:shd w:val="clear" w:color="auto" w:fill="CCFFFF"/>
            <w:vAlign w:val="center"/>
          </w:tcPr>
          <w:p w:rsidR="00B43DB2" w:rsidRPr="00B43DB2" w:rsidRDefault="00B43DB2" w:rsidP="00F3734E">
            <w:pPr>
              <w:rPr>
                <w:rFonts w:asciiTheme="majorHAnsi" w:hAnsiTheme="majorHAnsi"/>
                <w:sz w:val="28"/>
                <w:szCs w:val="28"/>
              </w:rPr>
            </w:pPr>
            <w:r w:rsidRPr="00B43DB2">
              <w:rPr>
                <w:rFonts w:asciiTheme="majorHAnsi" w:hAnsiTheme="majorHAnsi" w:cs="Calibri,Bold"/>
                <w:b/>
                <w:bCs/>
                <w:sz w:val="28"/>
                <w:szCs w:val="28"/>
              </w:rPr>
              <w:t>Fluency</w:t>
            </w:r>
          </w:p>
        </w:tc>
        <w:tc>
          <w:tcPr>
            <w:tcW w:w="9630" w:type="dxa"/>
            <w:tcBorders>
              <w:bottom w:val="single" w:sz="4" w:space="0" w:color="auto"/>
            </w:tcBorders>
            <w:shd w:val="clear" w:color="auto" w:fill="CCFFFF"/>
            <w:vAlign w:val="center"/>
          </w:tcPr>
          <w:p w:rsidR="00B43DB2" w:rsidRPr="00B43DB2" w:rsidRDefault="00B43DB2" w:rsidP="00F3734E">
            <w:pPr>
              <w:autoSpaceDE w:val="0"/>
              <w:autoSpaceDN w:val="0"/>
              <w:adjustRightInd w:val="0"/>
              <w:rPr>
                <w:rFonts w:asciiTheme="majorHAnsi" w:hAnsiTheme="majorHAnsi" w:cs="Calibri"/>
                <w:sz w:val="28"/>
                <w:szCs w:val="28"/>
              </w:rPr>
            </w:pPr>
            <w:r w:rsidRPr="00B43DB2">
              <w:rPr>
                <w:rFonts w:asciiTheme="majorHAnsi" w:hAnsiTheme="majorHAnsi" w:cs="Calibri"/>
                <w:sz w:val="28"/>
                <w:szCs w:val="28"/>
              </w:rPr>
              <w:t>Students are expected to have</w:t>
            </w:r>
            <w:r w:rsidRPr="00B43DB2">
              <w:rPr>
                <w:rFonts w:asciiTheme="majorHAnsi" w:hAnsiTheme="majorHAnsi" w:cs="Calibri"/>
                <w:sz w:val="28"/>
                <w:szCs w:val="28"/>
              </w:rPr>
              <w:t xml:space="preserve"> speed and accuracy with simple </w:t>
            </w:r>
            <w:r w:rsidRPr="00B43DB2">
              <w:rPr>
                <w:rFonts w:asciiTheme="majorHAnsi" w:hAnsiTheme="majorHAnsi" w:cs="Calibri"/>
                <w:sz w:val="28"/>
                <w:szCs w:val="28"/>
              </w:rPr>
              <w:t>calculations; teachers structure class time and/or homework time for students to memorize, through repetition, core functions.</w:t>
            </w:r>
          </w:p>
        </w:tc>
      </w:tr>
      <w:tr w:rsidR="00B43DB2" w:rsidRPr="00B43DB2" w:rsidTr="00F3734E">
        <w:trPr>
          <w:trHeight w:val="1223"/>
        </w:trPr>
        <w:tc>
          <w:tcPr>
            <w:tcW w:w="1728" w:type="dxa"/>
            <w:tcBorders>
              <w:bottom w:val="single" w:sz="4" w:space="0" w:color="auto"/>
            </w:tcBorders>
            <w:shd w:val="clear" w:color="auto" w:fill="99CCFF"/>
            <w:vAlign w:val="center"/>
          </w:tcPr>
          <w:p w:rsidR="00B43DB2" w:rsidRPr="00B43DB2" w:rsidRDefault="00B43DB2" w:rsidP="00F3734E">
            <w:pPr>
              <w:rPr>
                <w:rFonts w:asciiTheme="majorHAnsi" w:hAnsiTheme="majorHAnsi" w:cs="Calibri,Bold"/>
                <w:b/>
                <w:bCs/>
                <w:sz w:val="28"/>
                <w:szCs w:val="28"/>
              </w:rPr>
            </w:pPr>
            <w:r w:rsidRPr="00B43DB2">
              <w:rPr>
                <w:rFonts w:asciiTheme="majorHAnsi" w:hAnsiTheme="majorHAnsi" w:cs="Calibri,Bold"/>
                <w:b/>
                <w:bCs/>
                <w:sz w:val="28"/>
                <w:szCs w:val="28"/>
              </w:rPr>
              <w:t>Shift 4</w:t>
            </w:r>
          </w:p>
        </w:tc>
        <w:tc>
          <w:tcPr>
            <w:tcW w:w="3510" w:type="dxa"/>
            <w:tcBorders>
              <w:bottom w:val="single" w:sz="4" w:space="0" w:color="auto"/>
            </w:tcBorders>
            <w:shd w:val="clear" w:color="auto" w:fill="99CCFF"/>
            <w:vAlign w:val="center"/>
          </w:tcPr>
          <w:p w:rsidR="00B43DB2" w:rsidRPr="00B43DB2" w:rsidRDefault="00B43DB2" w:rsidP="00F3734E">
            <w:pPr>
              <w:rPr>
                <w:rFonts w:asciiTheme="majorHAnsi" w:hAnsiTheme="majorHAnsi" w:cs="Calibri,Bold"/>
                <w:b/>
                <w:bCs/>
                <w:sz w:val="28"/>
                <w:szCs w:val="28"/>
              </w:rPr>
            </w:pPr>
            <w:r w:rsidRPr="00B43DB2">
              <w:rPr>
                <w:rFonts w:asciiTheme="majorHAnsi" w:hAnsiTheme="majorHAnsi" w:cs="Calibri,Bold"/>
                <w:b/>
                <w:bCs/>
                <w:sz w:val="28"/>
                <w:szCs w:val="28"/>
              </w:rPr>
              <w:t>Deep Understanding</w:t>
            </w:r>
          </w:p>
        </w:tc>
        <w:tc>
          <w:tcPr>
            <w:tcW w:w="9630" w:type="dxa"/>
            <w:tcBorders>
              <w:bottom w:val="single" w:sz="4" w:space="0" w:color="auto"/>
            </w:tcBorders>
            <w:shd w:val="clear" w:color="auto" w:fill="99CCFF"/>
            <w:vAlign w:val="center"/>
          </w:tcPr>
          <w:p w:rsidR="00B43DB2" w:rsidRPr="00B43DB2" w:rsidRDefault="00B43DB2" w:rsidP="00F3734E">
            <w:pPr>
              <w:rPr>
                <w:rFonts w:asciiTheme="majorHAnsi" w:hAnsiTheme="majorHAnsi"/>
                <w:sz w:val="28"/>
                <w:szCs w:val="28"/>
              </w:rPr>
            </w:pPr>
            <w:r w:rsidRPr="00B43DB2">
              <w:rPr>
                <w:rFonts w:asciiTheme="majorHAnsi" w:hAnsiTheme="majorHAnsi" w:cs="Calibri"/>
                <w:sz w:val="28"/>
                <w:szCs w:val="28"/>
              </w:rPr>
              <w:t>Students deeply understand and can operate easily within a math concept before moving on. They learn more than the trick to get the answer right. They learn the math.</w:t>
            </w:r>
          </w:p>
        </w:tc>
      </w:tr>
      <w:tr w:rsidR="00B43DB2" w:rsidRPr="00B43DB2" w:rsidTr="00F3734E">
        <w:trPr>
          <w:trHeight w:val="872"/>
        </w:trPr>
        <w:tc>
          <w:tcPr>
            <w:tcW w:w="1728" w:type="dxa"/>
            <w:tcBorders>
              <w:bottom w:val="single" w:sz="4" w:space="0" w:color="auto"/>
            </w:tcBorders>
            <w:shd w:val="clear" w:color="auto" w:fill="CC99FF"/>
            <w:vAlign w:val="center"/>
          </w:tcPr>
          <w:p w:rsidR="00B43DB2" w:rsidRPr="00B43DB2" w:rsidRDefault="00B43DB2" w:rsidP="00F3734E">
            <w:pPr>
              <w:rPr>
                <w:rFonts w:asciiTheme="majorHAnsi" w:hAnsiTheme="majorHAnsi" w:cs="Calibri,Bold"/>
                <w:b/>
                <w:bCs/>
                <w:sz w:val="28"/>
                <w:szCs w:val="28"/>
              </w:rPr>
            </w:pPr>
            <w:r w:rsidRPr="00B43DB2">
              <w:rPr>
                <w:rFonts w:asciiTheme="majorHAnsi" w:hAnsiTheme="majorHAnsi" w:cs="Calibri,Bold"/>
                <w:b/>
                <w:bCs/>
                <w:sz w:val="28"/>
                <w:szCs w:val="28"/>
              </w:rPr>
              <w:t>Shift 5</w:t>
            </w:r>
          </w:p>
        </w:tc>
        <w:tc>
          <w:tcPr>
            <w:tcW w:w="3510" w:type="dxa"/>
            <w:tcBorders>
              <w:bottom w:val="single" w:sz="4" w:space="0" w:color="auto"/>
            </w:tcBorders>
            <w:shd w:val="clear" w:color="auto" w:fill="CC99FF"/>
            <w:vAlign w:val="center"/>
          </w:tcPr>
          <w:p w:rsidR="00B43DB2" w:rsidRPr="00B43DB2" w:rsidRDefault="00B43DB2" w:rsidP="00F3734E">
            <w:pPr>
              <w:rPr>
                <w:rFonts w:asciiTheme="majorHAnsi" w:hAnsiTheme="majorHAnsi" w:cs="Calibri,Bold"/>
                <w:b/>
                <w:bCs/>
                <w:sz w:val="28"/>
                <w:szCs w:val="28"/>
              </w:rPr>
            </w:pPr>
            <w:r w:rsidRPr="00B43DB2">
              <w:rPr>
                <w:rFonts w:asciiTheme="majorHAnsi" w:hAnsiTheme="majorHAnsi" w:cs="Calibri,Bold"/>
                <w:b/>
                <w:bCs/>
                <w:sz w:val="28"/>
                <w:szCs w:val="28"/>
              </w:rPr>
              <w:t>Application</w:t>
            </w:r>
          </w:p>
        </w:tc>
        <w:tc>
          <w:tcPr>
            <w:tcW w:w="9630" w:type="dxa"/>
            <w:tcBorders>
              <w:bottom w:val="single" w:sz="4" w:space="0" w:color="auto"/>
            </w:tcBorders>
            <w:shd w:val="clear" w:color="auto" w:fill="CC99FF"/>
            <w:vAlign w:val="center"/>
          </w:tcPr>
          <w:p w:rsidR="00B43DB2" w:rsidRPr="00B43DB2" w:rsidRDefault="00B43DB2" w:rsidP="00F3734E">
            <w:pPr>
              <w:rPr>
                <w:rFonts w:asciiTheme="majorHAnsi" w:hAnsiTheme="majorHAnsi"/>
                <w:sz w:val="28"/>
                <w:szCs w:val="28"/>
              </w:rPr>
            </w:pPr>
            <w:r w:rsidRPr="00B43DB2">
              <w:rPr>
                <w:rFonts w:asciiTheme="majorHAnsi" w:hAnsiTheme="majorHAnsi" w:cs="Calibri"/>
                <w:sz w:val="28"/>
                <w:szCs w:val="28"/>
              </w:rPr>
              <w:t>Students are expected to use math and choose the appropriate concept for application even when they are not prompted to do so.</w:t>
            </w:r>
          </w:p>
        </w:tc>
      </w:tr>
      <w:tr w:rsidR="00B43DB2" w:rsidRPr="00B43DB2" w:rsidTr="00F3734E">
        <w:trPr>
          <w:trHeight w:val="1178"/>
        </w:trPr>
        <w:tc>
          <w:tcPr>
            <w:tcW w:w="1728" w:type="dxa"/>
            <w:shd w:val="clear" w:color="auto" w:fill="FFCCFF"/>
            <w:vAlign w:val="center"/>
          </w:tcPr>
          <w:p w:rsidR="00B43DB2" w:rsidRPr="00B43DB2" w:rsidRDefault="00B43DB2" w:rsidP="00F3734E">
            <w:pPr>
              <w:rPr>
                <w:rFonts w:asciiTheme="majorHAnsi" w:hAnsiTheme="majorHAnsi" w:cs="Calibri,Bold"/>
                <w:b/>
                <w:bCs/>
                <w:sz w:val="28"/>
                <w:szCs w:val="28"/>
              </w:rPr>
            </w:pPr>
            <w:r w:rsidRPr="00B43DB2">
              <w:rPr>
                <w:rFonts w:asciiTheme="majorHAnsi" w:hAnsiTheme="majorHAnsi" w:cs="Calibri,Bold"/>
                <w:b/>
                <w:bCs/>
                <w:sz w:val="28"/>
                <w:szCs w:val="28"/>
              </w:rPr>
              <w:t>Shift 6</w:t>
            </w:r>
          </w:p>
        </w:tc>
        <w:tc>
          <w:tcPr>
            <w:tcW w:w="3510" w:type="dxa"/>
            <w:shd w:val="clear" w:color="auto" w:fill="FFCCFF"/>
            <w:vAlign w:val="center"/>
          </w:tcPr>
          <w:p w:rsidR="00B43DB2" w:rsidRPr="00B43DB2" w:rsidRDefault="00B43DB2" w:rsidP="00F3734E">
            <w:pPr>
              <w:rPr>
                <w:rFonts w:asciiTheme="majorHAnsi" w:hAnsiTheme="majorHAnsi" w:cs="Calibri,Bold"/>
                <w:b/>
                <w:bCs/>
                <w:sz w:val="28"/>
                <w:szCs w:val="28"/>
              </w:rPr>
            </w:pPr>
            <w:r w:rsidRPr="00B43DB2">
              <w:rPr>
                <w:rFonts w:asciiTheme="majorHAnsi" w:hAnsiTheme="majorHAnsi" w:cs="Calibri,Bold"/>
                <w:b/>
                <w:bCs/>
                <w:sz w:val="28"/>
                <w:szCs w:val="28"/>
              </w:rPr>
              <w:t>Dual Intensity</w:t>
            </w:r>
          </w:p>
        </w:tc>
        <w:tc>
          <w:tcPr>
            <w:tcW w:w="9630" w:type="dxa"/>
            <w:shd w:val="clear" w:color="auto" w:fill="FFCCFF"/>
            <w:vAlign w:val="center"/>
          </w:tcPr>
          <w:p w:rsidR="00B43DB2" w:rsidRPr="00B43DB2" w:rsidRDefault="00B43DB2" w:rsidP="00F3734E">
            <w:pPr>
              <w:rPr>
                <w:rFonts w:asciiTheme="majorHAnsi" w:hAnsiTheme="majorHAnsi"/>
                <w:sz w:val="28"/>
                <w:szCs w:val="28"/>
              </w:rPr>
            </w:pPr>
            <w:r w:rsidRPr="00B43DB2">
              <w:rPr>
                <w:rFonts w:asciiTheme="majorHAnsi" w:hAnsiTheme="majorHAnsi" w:cs="Calibri"/>
                <w:sz w:val="28"/>
                <w:szCs w:val="28"/>
              </w:rPr>
              <w:t>Students are practicing and understanding. There is more than a balance between these two things in the classroom – both are occurring with intensity.</w:t>
            </w:r>
          </w:p>
        </w:tc>
      </w:tr>
    </w:tbl>
    <w:p w:rsidR="00B43DB2" w:rsidRDefault="00B43DB2">
      <w:bookmarkStart w:id="0" w:name="_GoBack"/>
      <w:bookmarkEnd w:id="0"/>
    </w:p>
    <w:sectPr w:rsidR="00B43DB2" w:rsidSect="00B43DB2">
      <w:pgSz w:w="15840" w:h="12240" w:orient="landscape"/>
      <w:pgMar w:top="720" w:right="720" w:bottom="720" w:left="720" w:header="720" w:footer="720" w:gutter="0"/>
      <w:cols w:space="72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B2"/>
    <w:rsid w:val="00067D05"/>
    <w:rsid w:val="00462EC7"/>
    <w:rsid w:val="005B1750"/>
    <w:rsid w:val="00831231"/>
    <w:rsid w:val="00B43DB2"/>
    <w:rsid w:val="00C4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717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B2"/>
    <w:rPr>
      <w:rFonts w:ascii="Century Gothic" w:eastAsia="Times New Roman"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B2"/>
    <w:rPr>
      <w:rFonts w:ascii="Century Gothic" w:eastAsia="Times New Roman"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975</Characters>
  <Application>Microsoft Macintosh Word</Application>
  <DocSecurity>0</DocSecurity>
  <Lines>8</Lines>
  <Paragraphs>2</Paragraphs>
  <ScaleCrop>false</ScaleCrop>
  <Company>E1B</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Tamarazio, Andrea</dc:creator>
  <cp:keywords/>
  <dc:description/>
  <cp:lastModifiedBy>Tamarazio, Andrea</cp:lastModifiedBy>
  <cp:revision>1</cp:revision>
  <cp:lastPrinted>2014-07-23T14:10:00Z</cp:lastPrinted>
  <dcterms:created xsi:type="dcterms:W3CDTF">2014-07-23T14:08:00Z</dcterms:created>
  <dcterms:modified xsi:type="dcterms:W3CDTF">2014-07-23T14:11:00Z</dcterms:modified>
</cp:coreProperties>
</file>