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E9B7A" w14:textId="77777777" w:rsidR="00742F26" w:rsidRPr="00CC103C" w:rsidRDefault="00254296" w:rsidP="00CC103C">
      <w:pPr>
        <w:jc w:val="center"/>
        <w:rPr>
          <w:b/>
          <w:sz w:val="28"/>
          <w:szCs w:val="28"/>
        </w:rPr>
      </w:pPr>
      <w:bookmarkStart w:id="0" w:name="_GoBack"/>
      <w:bookmarkEnd w:id="0"/>
      <w:r w:rsidRPr="00CC103C">
        <w:rPr>
          <w:b/>
          <w:sz w:val="28"/>
          <w:szCs w:val="28"/>
        </w:rPr>
        <w:t xml:space="preserve">Danielson’s Special Education Scenarios – </w:t>
      </w:r>
      <w:r w:rsidR="00FE7A58">
        <w:rPr>
          <w:b/>
          <w:sz w:val="28"/>
          <w:szCs w:val="28"/>
        </w:rPr>
        <w:t>Behavior</w:t>
      </w:r>
    </w:p>
    <w:tbl>
      <w:tblPr>
        <w:tblStyle w:val="TableGrid"/>
        <w:tblW w:w="0" w:type="auto"/>
        <w:tblLook w:val="04A0" w:firstRow="1" w:lastRow="0" w:firstColumn="1" w:lastColumn="0" w:noHBand="0" w:noVBand="1"/>
      </w:tblPr>
      <w:tblGrid>
        <w:gridCol w:w="2337"/>
        <w:gridCol w:w="2337"/>
        <w:gridCol w:w="2338"/>
        <w:gridCol w:w="2338"/>
      </w:tblGrid>
      <w:tr w:rsidR="00EC5796" w14:paraId="5F865AAE" w14:textId="77777777" w:rsidTr="00BC6CE0">
        <w:tc>
          <w:tcPr>
            <w:tcW w:w="9350" w:type="dxa"/>
            <w:gridSpan w:val="4"/>
          </w:tcPr>
          <w:p w14:paraId="7A2FA42F" w14:textId="77777777" w:rsidR="00EC5796" w:rsidRPr="008B7E8D" w:rsidRDefault="008929DD" w:rsidP="00EC5796">
            <w:pPr>
              <w:rPr>
                <w:rFonts w:ascii="Catriel" w:hAnsi="Catriel"/>
                <w:b/>
                <w:sz w:val="28"/>
                <w:szCs w:val="28"/>
              </w:rPr>
            </w:pPr>
            <w:r w:rsidRPr="008B7E8D">
              <w:rPr>
                <w:rFonts w:ascii="Catriel" w:hAnsi="Catriel"/>
                <w:b/>
                <w:sz w:val="28"/>
                <w:szCs w:val="28"/>
              </w:rPr>
              <w:t>Domain 2</w:t>
            </w:r>
            <w:r w:rsidR="00EC5796" w:rsidRPr="008B7E8D">
              <w:rPr>
                <w:rFonts w:ascii="Catriel" w:hAnsi="Catriel"/>
                <w:b/>
                <w:sz w:val="28"/>
                <w:szCs w:val="28"/>
              </w:rPr>
              <w:t xml:space="preserve">: </w:t>
            </w:r>
            <w:r w:rsidRPr="008B7E8D">
              <w:rPr>
                <w:rFonts w:ascii="Catriel" w:hAnsi="Catriel"/>
                <w:b/>
                <w:sz w:val="28"/>
                <w:szCs w:val="28"/>
              </w:rPr>
              <w:t>The Classroom Environment</w:t>
            </w:r>
          </w:p>
          <w:p w14:paraId="10BA8B80" w14:textId="77777777" w:rsidR="00EC5796" w:rsidRPr="00EC5796" w:rsidRDefault="008929DD" w:rsidP="004E4900">
            <w:r w:rsidRPr="008B7E8D">
              <w:rPr>
                <w:rFonts w:ascii="Catriel" w:hAnsi="Catriel"/>
                <w:b/>
                <w:sz w:val="28"/>
                <w:szCs w:val="28"/>
              </w:rPr>
              <w:t>2a. Creating an Environment of Respect and Rapport</w:t>
            </w:r>
            <w:r w:rsidR="004E4900">
              <w:rPr>
                <w:rFonts w:ascii="Catriel" w:hAnsi="Catriel"/>
                <w:b/>
                <w:sz w:val="24"/>
                <w:szCs w:val="24"/>
              </w:rPr>
              <w:t xml:space="preserve"> </w:t>
            </w:r>
          </w:p>
        </w:tc>
      </w:tr>
      <w:tr w:rsidR="00EC5796" w14:paraId="195A845A" w14:textId="77777777" w:rsidTr="0023641C">
        <w:tc>
          <w:tcPr>
            <w:tcW w:w="9350" w:type="dxa"/>
            <w:gridSpan w:val="4"/>
          </w:tcPr>
          <w:p w14:paraId="4051B35B" w14:textId="77777777" w:rsidR="00B807E1" w:rsidRPr="008B7E8D" w:rsidRDefault="00821695" w:rsidP="00EC5796">
            <w:pPr>
              <w:rPr>
                <w:sz w:val="28"/>
                <w:szCs w:val="28"/>
              </w:rPr>
            </w:pPr>
            <w:r w:rsidRPr="008B7E8D">
              <w:rPr>
                <w:sz w:val="28"/>
                <w:szCs w:val="28"/>
              </w:rPr>
              <w:t>The teacher posts rules for appropriate language among students, including visual and written models of social courtesies. Students are awarded points for us</w:t>
            </w:r>
            <w:r w:rsidR="0044596A" w:rsidRPr="008B7E8D">
              <w:rPr>
                <w:sz w:val="28"/>
                <w:szCs w:val="28"/>
              </w:rPr>
              <w:t>ing these social courtesies. Any students who have</w:t>
            </w:r>
            <w:r w:rsidRPr="008B7E8D">
              <w:rPr>
                <w:sz w:val="28"/>
                <w:szCs w:val="28"/>
              </w:rPr>
              <w:t xml:space="preserve"> received a positive verbal comment is permitted to nominate a peer for additional points. The teacher infuses self-management strategies into classroom routines. Students can be observed conferring with staff members after </w:t>
            </w:r>
            <w:r w:rsidR="00C7536A" w:rsidRPr="008B7E8D">
              <w:rPr>
                <w:sz w:val="28"/>
                <w:szCs w:val="28"/>
              </w:rPr>
              <w:t xml:space="preserve">an incident. Students and staff work through the ABCs of what took place: antecedent event, behavior that occurred, and consequence of the behavior. They discuss alternative scenarios and role-play the event with other behavioral options. </w:t>
            </w:r>
          </w:p>
        </w:tc>
      </w:tr>
      <w:tr w:rsidR="00CC103C" w14:paraId="0DBE8A60" w14:textId="77777777" w:rsidTr="00254296">
        <w:tc>
          <w:tcPr>
            <w:tcW w:w="2337" w:type="dxa"/>
          </w:tcPr>
          <w:p w14:paraId="40941F73" w14:textId="77777777" w:rsidR="00CC103C" w:rsidRPr="008B7E8D" w:rsidRDefault="00CC103C" w:rsidP="00CC103C">
            <w:pPr>
              <w:jc w:val="center"/>
              <w:rPr>
                <w:color w:val="2F5496" w:themeColor="accent5" w:themeShade="BF"/>
                <w:sz w:val="28"/>
                <w:szCs w:val="28"/>
              </w:rPr>
            </w:pPr>
            <w:r w:rsidRPr="008B7E8D">
              <w:rPr>
                <w:color w:val="2F5496" w:themeColor="accent5" w:themeShade="BF"/>
                <w:sz w:val="28"/>
                <w:szCs w:val="28"/>
              </w:rPr>
              <w:t>Unsatisfactory</w:t>
            </w:r>
          </w:p>
        </w:tc>
        <w:tc>
          <w:tcPr>
            <w:tcW w:w="2337" w:type="dxa"/>
          </w:tcPr>
          <w:p w14:paraId="0D8765CF" w14:textId="77777777" w:rsidR="00CC103C" w:rsidRPr="008B7E8D" w:rsidRDefault="00CC103C" w:rsidP="00CC103C">
            <w:pPr>
              <w:jc w:val="center"/>
              <w:rPr>
                <w:color w:val="2F5496" w:themeColor="accent5" w:themeShade="BF"/>
                <w:sz w:val="28"/>
                <w:szCs w:val="28"/>
              </w:rPr>
            </w:pPr>
            <w:r w:rsidRPr="008B7E8D">
              <w:rPr>
                <w:color w:val="2F5496" w:themeColor="accent5" w:themeShade="BF"/>
                <w:sz w:val="28"/>
                <w:szCs w:val="28"/>
              </w:rPr>
              <w:t>Basic</w:t>
            </w:r>
          </w:p>
        </w:tc>
        <w:tc>
          <w:tcPr>
            <w:tcW w:w="2338" w:type="dxa"/>
          </w:tcPr>
          <w:p w14:paraId="1E596050" w14:textId="77777777" w:rsidR="00CC103C" w:rsidRPr="008B7E8D" w:rsidRDefault="00CC103C" w:rsidP="00CC103C">
            <w:pPr>
              <w:jc w:val="center"/>
              <w:rPr>
                <w:color w:val="2F5496" w:themeColor="accent5" w:themeShade="BF"/>
                <w:sz w:val="28"/>
                <w:szCs w:val="28"/>
              </w:rPr>
            </w:pPr>
            <w:r w:rsidRPr="008B7E8D">
              <w:rPr>
                <w:color w:val="2F5496" w:themeColor="accent5" w:themeShade="BF"/>
                <w:sz w:val="28"/>
                <w:szCs w:val="28"/>
              </w:rPr>
              <w:t>Proficient</w:t>
            </w:r>
          </w:p>
        </w:tc>
        <w:tc>
          <w:tcPr>
            <w:tcW w:w="2338" w:type="dxa"/>
          </w:tcPr>
          <w:p w14:paraId="65D093AF" w14:textId="77777777" w:rsidR="00CC103C" w:rsidRPr="008B7E8D" w:rsidRDefault="00CC103C" w:rsidP="00CC103C">
            <w:pPr>
              <w:jc w:val="center"/>
              <w:rPr>
                <w:color w:val="2F5496" w:themeColor="accent5" w:themeShade="BF"/>
                <w:sz w:val="28"/>
                <w:szCs w:val="28"/>
              </w:rPr>
            </w:pPr>
            <w:r w:rsidRPr="008B7E8D">
              <w:rPr>
                <w:color w:val="1F4E79" w:themeColor="accent1" w:themeShade="80"/>
                <w:sz w:val="28"/>
                <w:szCs w:val="28"/>
              </w:rPr>
              <w:t>Distinguished</w:t>
            </w:r>
          </w:p>
        </w:tc>
      </w:tr>
      <w:tr w:rsidR="0068545D" w:rsidRPr="00EC5796" w14:paraId="06652ADD" w14:textId="77777777" w:rsidTr="0008182E">
        <w:tc>
          <w:tcPr>
            <w:tcW w:w="9350" w:type="dxa"/>
            <w:gridSpan w:val="4"/>
          </w:tcPr>
          <w:p w14:paraId="61CF4AA2" w14:textId="77777777" w:rsidR="0068545D" w:rsidRPr="008B7E8D" w:rsidRDefault="0068545D" w:rsidP="0008182E">
            <w:pPr>
              <w:rPr>
                <w:rFonts w:ascii="Catriel" w:hAnsi="Catriel"/>
                <w:b/>
                <w:sz w:val="28"/>
                <w:szCs w:val="28"/>
              </w:rPr>
            </w:pPr>
            <w:r w:rsidRPr="008B7E8D">
              <w:rPr>
                <w:rFonts w:ascii="Catriel" w:hAnsi="Catriel"/>
                <w:b/>
                <w:sz w:val="28"/>
                <w:szCs w:val="28"/>
              </w:rPr>
              <w:t xml:space="preserve">Domain 2: The Classroom Environment </w:t>
            </w:r>
          </w:p>
          <w:p w14:paraId="686F06CF" w14:textId="77777777" w:rsidR="009C7440" w:rsidRPr="008B7E8D" w:rsidRDefault="0068545D" w:rsidP="0068545D">
            <w:pPr>
              <w:rPr>
                <w:rFonts w:ascii="Catriel" w:hAnsi="Catriel"/>
                <w:b/>
                <w:sz w:val="28"/>
                <w:szCs w:val="28"/>
              </w:rPr>
            </w:pPr>
            <w:r w:rsidRPr="008B7E8D">
              <w:rPr>
                <w:rFonts w:ascii="Catriel" w:hAnsi="Catriel"/>
                <w:b/>
                <w:sz w:val="28"/>
                <w:szCs w:val="28"/>
              </w:rPr>
              <w:t xml:space="preserve">2b. </w:t>
            </w:r>
            <w:r w:rsidR="009C7440" w:rsidRPr="008B7E8D">
              <w:rPr>
                <w:rFonts w:ascii="Catriel" w:hAnsi="Catriel"/>
                <w:b/>
                <w:sz w:val="28"/>
                <w:szCs w:val="28"/>
              </w:rPr>
              <w:t xml:space="preserve">Establishing a Culture for Learning </w:t>
            </w:r>
          </w:p>
        </w:tc>
      </w:tr>
      <w:tr w:rsidR="0068545D" w:rsidRPr="00CC103C" w14:paraId="53BACC35" w14:textId="77777777" w:rsidTr="0008182E">
        <w:tc>
          <w:tcPr>
            <w:tcW w:w="9350" w:type="dxa"/>
            <w:gridSpan w:val="4"/>
          </w:tcPr>
          <w:p w14:paraId="722A16D5" w14:textId="77777777" w:rsidR="0068545D" w:rsidRPr="008B7E8D" w:rsidRDefault="009C7440" w:rsidP="0008182E">
            <w:pPr>
              <w:rPr>
                <w:sz w:val="28"/>
                <w:szCs w:val="28"/>
              </w:rPr>
            </w:pPr>
            <w:r w:rsidRPr="008B7E8D">
              <w:rPr>
                <w:sz w:val="28"/>
                <w:szCs w:val="28"/>
              </w:rPr>
              <w:t>The teacher allows lessons to deteriorate into back and forth exchanges and bargaining regarding content and rigor of classroom activities. Students are heard saying, “You can’t ask us to do this stuff. These books are too hard.”</w:t>
            </w:r>
          </w:p>
        </w:tc>
      </w:tr>
      <w:tr w:rsidR="0068545D" w:rsidRPr="00EC5796" w14:paraId="674003FD" w14:textId="77777777" w:rsidTr="0008182E">
        <w:tc>
          <w:tcPr>
            <w:tcW w:w="2337" w:type="dxa"/>
          </w:tcPr>
          <w:p w14:paraId="4038FD92" w14:textId="77777777" w:rsidR="0068545D" w:rsidRPr="008B7E8D" w:rsidRDefault="0068545D" w:rsidP="0008182E">
            <w:pPr>
              <w:jc w:val="center"/>
              <w:rPr>
                <w:color w:val="2F5496" w:themeColor="accent5" w:themeShade="BF"/>
                <w:sz w:val="28"/>
                <w:szCs w:val="28"/>
              </w:rPr>
            </w:pPr>
            <w:r w:rsidRPr="008B7E8D">
              <w:rPr>
                <w:color w:val="1F4E79" w:themeColor="accent1" w:themeShade="80"/>
                <w:sz w:val="28"/>
                <w:szCs w:val="28"/>
              </w:rPr>
              <w:t>Unsatisfactory</w:t>
            </w:r>
          </w:p>
        </w:tc>
        <w:tc>
          <w:tcPr>
            <w:tcW w:w="2337" w:type="dxa"/>
          </w:tcPr>
          <w:p w14:paraId="6564AE97" w14:textId="77777777" w:rsidR="0068545D" w:rsidRPr="008B7E8D" w:rsidRDefault="0068545D" w:rsidP="0008182E">
            <w:pPr>
              <w:jc w:val="center"/>
              <w:rPr>
                <w:color w:val="2F5496" w:themeColor="accent5" w:themeShade="BF"/>
                <w:sz w:val="28"/>
                <w:szCs w:val="28"/>
              </w:rPr>
            </w:pPr>
            <w:r w:rsidRPr="008B7E8D">
              <w:rPr>
                <w:color w:val="0070C0"/>
                <w:sz w:val="28"/>
                <w:szCs w:val="28"/>
              </w:rPr>
              <w:t>Basic</w:t>
            </w:r>
          </w:p>
        </w:tc>
        <w:tc>
          <w:tcPr>
            <w:tcW w:w="2338" w:type="dxa"/>
          </w:tcPr>
          <w:p w14:paraId="628ACDEA" w14:textId="77777777" w:rsidR="0068545D" w:rsidRPr="008B7E8D" w:rsidRDefault="0068545D" w:rsidP="0008182E">
            <w:pPr>
              <w:jc w:val="center"/>
              <w:rPr>
                <w:color w:val="2F5496" w:themeColor="accent5" w:themeShade="BF"/>
                <w:sz w:val="28"/>
                <w:szCs w:val="28"/>
              </w:rPr>
            </w:pPr>
            <w:r w:rsidRPr="008B7E8D">
              <w:rPr>
                <w:color w:val="2F5496" w:themeColor="accent5" w:themeShade="BF"/>
                <w:sz w:val="28"/>
                <w:szCs w:val="28"/>
              </w:rPr>
              <w:t>Proficient</w:t>
            </w:r>
          </w:p>
        </w:tc>
        <w:tc>
          <w:tcPr>
            <w:tcW w:w="2338" w:type="dxa"/>
          </w:tcPr>
          <w:p w14:paraId="020A7BE7" w14:textId="77777777" w:rsidR="0068545D" w:rsidRPr="008B7E8D" w:rsidRDefault="0068545D" w:rsidP="0008182E">
            <w:pPr>
              <w:jc w:val="center"/>
              <w:rPr>
                <w:color w:val="2F5496" w:themeColor="accent5" w:themeShade="BF"/>
                <w:sz w:val="28"/>
                <w:szCs w:val="28"/>
              </w:rPr>
            </w:pPr>
            <w:r w:rsidRPr="008B7E8D">
              <w:rPr>
                <w:color w:val="2F5496" w:themeColor="accent5" w:themeShade="BF"/>
                <w:sz w:val="28"/>
                <w:szCs w:val="28"/>
              </w:rPr>
              <w:t>Distinguished</w:t>
            </w:r>
          </w:p>
        </w:tc>
      </w:tr>
      <w:tr w:rsidR="00CC103C" w14:paraId="0BBCA79B" w14:textId="77777777" w:rsidTr="00D558FD">
        <w:tc>
          <w:tcPr>
            <w:tcW w:w="9350" w:type="dxa"/>
            <w:gridSpan w:val="4"/>
          </w:tcPr>
          <w:p w14:paraId="1DE5EE29" w14:textId="77777777" w:rsidR="00CC103C" w:rsidRPr="008B7E8D" w:rsidRDefault="00CC103C" w:rsidP="00CC103C">
            <w:pPr>
              <w:rPr>
                <w:rFonts w:ascii="Catriel" w:hAnsi="Catriel"/>
                <w:b/>
                <w:sz w:val="28"/>
                <w:szCs w:val="28"/>
              </w:rPr>
            </w:pPr>
            <w:r w:rsidRPr="008B7E8D">
              <w:rPr>
                <w:rFonts w:ascii="Catriel" w:hAnsi="Catriel"/>
                <w:b/>
                <w:sz w:val="28"/>
                <w:szCs w:val="28"/>
              </w:rPr>
              <w:t xml:space="preserve">Domain 2: The Classroom Environment </w:t>
            </w:r>
          </w:p>
          <w:p w14:paraId="18EE5EEF" w14:textId="77777777" w:rsidR="00CC103C" w:rsidRPr="00EC5796" w:rsidRDefault="00CC103C" w:rsidP="00CC103C">
            <w:pPr>
              <w:rPr>
                <w:color w:val="2F5496" w:themeColor="accent5" w:themeShade="BF"/>
              </w:rPr>
            </w:pPr>
            <w:r w:rsidRPr="008B7E8D">
              <w:rPr>
                <w:rFonts w:ascii="Catriel" w:hAnsi="Catriel"/>
                <w:b/>
                <w:sz w:val="28"/>
                <w:szCs w:val="28"/>
              </w:rPr>
              <w:t>2c. Managing Classroom Procedures</w:t>
            </w:r>
            <w:r>
              <w:rPr>
                <w:rFonts w:ascii="Catriel" w:hAnsi="Catriel"/>
                <w:b/>
                <w:sz w:val="24"/>
                <w:szCs w:val="24"/>
              </w:rPr>
              <w:t xml:space="preserve"> </w:t>
            </w:r>
          </w:p>
        </w:tc>
      </w:tr>
      <w:tr w:rsidR="00CC103C" w14:paraId="653D3844" w14:textId="77777777" w:rsidTr="000E5220">
        <w:tc>
          <w:tcPr>
            <w:tcW w:w="9350" w:type="dxa"/>
            <w:gridSpan w:val="4"/>
          </w:tcPr>
          <w:p w14:paraId="5F76A24C" w14:textId="77777777" w:rsidR="00B807E1" w:rsidRPr="008B7E8D" w:rsidRDefault="00B16390" w:rsidP="00CC103C">
            <w:pPr>
              <w:rPr>
                <w:sz w:val="28"/>
                <w:szCs w:val="28"/>
              </w:rPr>
            </w:pPr>
            <w:r w:rsidRPr="008B7E8D">
              <w:rPr>
                <w:sz w:val="28"/>
                <w:szCs w:val="28"/>
              </w:rPr>
              <w:t xml:space="preserve">Students who are on Tier III of the classroom behavior system are responsible for distributing and collecting materials. Peer tutors on Tier III are responsible for coaching students who are having difficulty getting started with an independent activity while the teacher engages in one-on-one conferencing with a student on a writing assignment. </w:t>
            </w:r>
            <w:r w:rsidR="00F33F9A" w:rsidRPr="008B7E8D">
              <w:rPr>
                <w:sz w:val="28"/>
                <w:szCs w:val="28"/>
              </w:rPr>
              <w:t xml:space="preserve"> </w:t>
            </w:r>
          </w:p>
        </w:tc>
      </w:tr>
      <w:tr w:rsidR="00B807E1" w14:paraId="648A0161" w14:textId="77777777" w:rsidTr="00254296">
        <w:tc>
          <w:tcPr>
            <w:tcW w:w="2337" w:type="dxa"/>
          </w:tcPr>
          <w:p w14:paraId="78A46FCD" w14:textId="77777777" w:rsidR="00B807E1" w:rsidRPr="008B7E8D" w:rsidRDefault="00B807E1" w:rsidP="00B807E1">
            <w:pPr>
              <w:jc w:val="center"/>
              <w:rPr>
                <w:color w:val="2F5496" w:themeColor="accent5" w:themeShade="BF"/>
                <w:sz w:val="28"/>
                <w:szCs w:val="28"/>
              </w:rPr>
            </w:pPr>
            <w:r w:rsidRPr="008B7E8D">
              <w:rPr>
                <w:color w:val="2F5496" w:themeColor="accent5" w:themeShade="BF"/>
                <w:sz w:val="28"/>
                <w:szCs w:val="28"/>
              </w:rPr>
              <w:t>Unsatisfactory</w:t>
            </w:r>
          </w:p>
        </w:tc>
        <w:tc>
          <w:tcPr>
            <w:tcW w:w="2337" w:type="dxa"/>
          </w:tcPr>
          <w:p w14:paraId="57620947" w14:textId="77777777" w:rsidR="00B807E1" w:rsidRPr="008B7E8D" w:rsidRDefault="00B807E1" w:rsidP="00B807E1">
            <w:pPr>
              <w:jc w:val="center"/>
              <w:rPr>
                <w:color w:val="2F5496" w:themeColor="accent5" w:themeShade="BF"/>
                <w:sz w:val="28"/>
                <w:szCs w:val="28"/>
              </w:rPr>
            </w:pPr>
            <w:r w:rsidRPr="008B7E8D">
              <w:rPr>
                <w:color w:val="2F5496" w:themeColor="accent5" w:themeShade="BF"/>
                <w:sz w:val="28"/>
                <w:szCs w:val="28"/>
              </w:rPr>
              <w:t>Basic</w:t>
            </w:r>
          </w:p>
        </w:tc>
        <w:tc>
          <w:tcPr>
            <w:tcW w:w="2338" w:type="dxa"/>
          </w:tcPr>
          <w:p w14:paraId="670AC1BB" w14:textId="77777777" w:rsidR="00B807E1" w:rsidRPr="008B7E8D" w:rsidRDefault="00B807E1" w:rsidP="00B807E1">
            <w:pPr>
              <w:jc w:val="center"/>
              <w:rPr>
                <w:color w:val="2F5496" w:themeColor="accent5" w:themeShade="BF"/>
                <w:sz w:val="28"/>
                <w:szCs w:val="28"/>
              </w:rPr>
            </w:pPr>
            <w:r w:rsidRPr="008B7E8D">
              <w:rPr>
                <w:color w:val="2F5496" w:themeColor="accent5" w:themeShade="BF"/>
                <w:sz w:val="28"/>
                <w:szCs w:val="28"/>
              </w:rPr>
              <w:t>Proficient</w:t>
            </w:r>
          </w:p>
        </w:tc>
        <w:tc>
          <w:tcPr>
            <w:tcW w:w="2338" w:type="dxa"/>
          </w:tcPr>
          <w:p w14:paraId="22B71414" w14:textId="77777777" w:rsidR="00B807E1" w:rsidRPr="008B7E8D" w:rsidRDefault="00B807E1" w:rsidP="00B807E1">
            <w:pPr>
              <w:jc w:val="center"/>
              <w:rPr>
                <w:color w:val="FF0000"/>
                <w:sz w:val="28"/>
                <w:szCs w:val="28"/>
              </w:rPr>
            </w:pPr>
            <w:r w:rsidRPr="008B7E8D">
              <w:rPr>
                <w:color w:val="1F4E79" w:themeColor="accent1" w:themeShade="80"/>
                <w:sz w:val="28"/>
                <w:szCs w:val="28"/>
              </w:rPr>
              <w:t>Distinguished</w:t>
            </w:r>
          </w:p>
        </w:tc>
      </w:tr>
      <w:tr w:rsidR="00B807E1" w14:paraId="3091FA1B" w14:textId="77777777" w:rsidTr="00E07E08">
        <w:tc>
          <w:tcPr>
            <w:tcW w:w="9350" w:type="dxa"/>
            <w:gridSpan w:val="4"/>
          </w:tcPr>
          <w:p w14:paraId="1D63D655" w14:textId="77777777" w:rsidR="00B807E1" w:rsidRPr="008B7E8D" w:rsidRDefault="00B807E1" w:rsidP="00B807E1">
            <w:pPr>
              <w:rPr>
                <w:rFonts w:ascii="Catriel" w:hAnsi="Catriel"/>
                <w:b/>
                <w:sz w:val="28"/>
                <w:szCs w:val="28"/>
              </w:rPr>
            </w:pPr>
            <w:r w:rsidRPr="008B7E8D">
              <w:rPr>
                <w:rFonts w:ascii="Catriel" w:hAnsi="Catriel"/>
                <w:b/>
                <w:sz w:val="28"/>
                <w:szCs w:val="28"/>
              </w:rPr>
              <w:t xml:space="preserve">Domain 2: The Classroom Environment </w:t>
            </w:r>
          </w:p>
          <w:p w14:paraId="1A224A88" w14:textId="77777777" w:rsidR="00B807E1" w:rsidRPr="008B7E8D" w:rsidRDefault="00B807E1" w:rsidP="00B807E1">
            <w:pPr>
              <w:rPr>
                <w:color w:val="2F5496" w:themeColor="accent5" w:themeShade="BF"/>
                <w:sz w:val="28"/>
                <w:szCs w:val="28"/>
              </w:rPr>
            </w:pPr>
            <w:r w:rsidRPr="008B7E8D">
              <w:rPr>
                <w:rFonts w:ascii="Catriel" w:hAnsi="Catriel"/>
                <w:b/>
                <w:sz w:val="28"/>
                <w:szCs w:val="28"/>
              </w:rPr>
              <w:t>2d. Managing Student Behavior</w:t>
            </w:r>
          </w:p>
        </w:tc>
      </w:tr>
      <w:tr w:rsidR="00B807E1" w14:paraId="5E26079E" w14:textId="77777777" w:rsidTr="006C74B0">
        <w:tc>
          <w:tcPr>
            <w:tcW w:w="9350" w:type="dxa"/>
            <w:gridSpan w:val="4"/>
          </w:tcPr>
          <w:p w14:paraId="6B34A836" w14:textId="77777777" w:rsidR="00B807E1" w:rsidRPr="008B7E8D" w:rsidRDefault="009B121B" w:rsidP="00B807E1">
            <w:pPr>
              <w:rPr>
                <w:sz w:val="28"/>
                <w:szCs w:val="28"/>
              </w:rPr>
            </w:pPr>
            <w:r w:rsidRPr="008B7E8D">
              <w:rPr>
                <w:sz w:val="28"/>
                <w:szCs w:val="28"/>
              </w:rPr>
              <w:t xml:space="preserve">The Behavior Intervention Plan for a student with ADHD calls for “frequent breaks.” During seatwork activities the special education teacher divides the 10 math problems up onto five different sheets of paper with two problems on a page. When the student completes two problems, he gets out of his seat, takes his paper to the teacher, and exchanges it for the next set of two problems. </w:t>
            </w:r>
          </w:p>
        </w:tc>
      </w:tr>
      <w:tr w:rsidR="00B807E1" w14:paraId="7C480B6B" w14:textId="77777777" w:rsidTr="00254296">
        <w:tc>
          <w:tcPr>
            <w:tcW w:w="2337" w:type="dxa"/>
          </w:tcPr>
          <w:p w14:paraId="73FF16BB" w14:textId="77777777" w:rsidR="00B807E1" w:rsidRPr="008B7E8D" w:rsidRDefault="00B807E1" w:rsidP="00B807E1">
            <w:pPr>
              <w:jc w:val="center"/>
              <w:rPr>
                <w:color w:val="2F5496" w:themeColor="accent5" w:themeShade="BF"/>
                <w:sz w:val="28"/>
                <w:szCs w:val="28"/>
              </w:rPr>
            </w:pPr>
            <w:r w:rsidRPr="008B7E8D">
              <w:rPr>
                <w:color w:val="2F5496" w:themeColor="accent5" w:themeShade="BF"/>
                <w:sz w:val="28"/>
                <w:szCs w:val="28"/>
              </w:rPr>
              <w:t>Unsatisfactory</w:t>
            </w:r>
          </w:p>
        </w:tc>
        <w:tc>
          <w:tcPr>
            <w:tcW w:w="2337" w:type="dxa"/>
          </w:tcPr>
          <w:p w14:paraId="1C17F813" w14:textId="77777777" w:rsidR="00B807E1" w:rsidRPr="008B7E8D" w:rsidRDefault="00B807E1" w:rsidP="00B807E1">
            <w:pPr>
              <w:jc w:val="center"/>
              <w:rPr>
                <w:color w:val="2F5496" w:themeColor="accent5" w:themeShade="BF"/>
                <w:sz w:val="28"/>
                <w:szCs w:val="28"/>
              </w:rPr>
            </w:pPr>
            <w:r w:rsidRPr="008B7E8D">
              <w:rPr>
                <w:color w:val="2F5496" w:themeColor="accent5" w:themeShade="BF"/>
                <w:sz w:val="28"/>
                <w:szCs w:val="28"/>
              </w:rPr>
              <w:t>Basic</w:t>
            </w:r>
          </w:p>
        </w:tc>
        <w:tc>
          <w:tcPr>
            <w:tcW w:w="2338" w:type="dxa"/>
          </w:tcPr>
          <w:p w14:paraId="5E94B95B" w14:textId="77777777" w:rsidR="00B807E1" w:rsidRPr="008B7E8D" w:rsidRDefault="00B807E1" w:rsidP="00B807E1">
            <w:pPr>
              <w:jc w:val="center"/>
              <w:rPr>
                <w:color w:val="2F5496" w:themeColor="accent5" w:themeShade="BF"/>
                <w:sz w:val="28"/>
                <w:szCs w:val="28"/>
              </w:rPr>
            </w:pPr>
            <w:r w:rsidRPr="008B7E8D">
              <w:rPr>
                <w:color w:val="1F4E79" w:themeColor="accent1" w:themeShade="80"/>
                <w:sz w:val="28"/>
                <w:szCs w:val="28"/>
              </w:rPr>
              <w:t>Proficient</w:t>
            </w:r>
          </w:p>
        </w:tc>
        <w:tc>
          <w:tcPr>
            <w:tcW w:w="2338" w:type="dxa"/>
          </w:tcPr>
          <w:p w14:paraId="0A97CAB4" w14:textId="77777777" w:rsidR="00B807E1" w:rsidRPr="008B7E8D" w:rsidRDefault="00B807E1" w:rsidP="00B807E1">
            <w:pPr>
              <w:jc w:val="center"/>
              <w:rPr>
                <w:color w:val="2F5496" w:themeColor="accent5" w:themeShade="BF"/>
                <w:sz w:val="28"/>
                <w:szCs w:val="28"/>
              </w:rPr>
            </w:pPr>
            <w:r w:rsidRPr="008B7E8D">
              <w:rPr>
                <w:color w:val="2F5496" w:themeColor="accent5" w:themeShade="BF"/>
                <w:sz w:val="28"/>
                <w:szCs w:val="28"/>
              </w:rPr>
              <w:t>Distinguished</w:t>
            </w:r>
          </w:p>
        </w:tc>
      </w:tr>
    </w:tbl>
    <w:p w14:paraId="72EAF244" w14:textId="77777777" w:rsidR="00AB0537" w:rsidRDefault="00E8485C" w:rsidP="008B7E8D">
      <w:pPr>
        <w:rPr>
          <w:b/>
          <w:sz w:val="28"/>
          <w:szCs w:val="28"/>
        </w:rPr>
      </w:pPr>
      <w:r>
        <w:rPr>
          <w:b/>
          <w:sz w:val="28"/>
          <w:szCs w:val="28"/>
        </w:rPr>
        <w:t xml:space="preserve"> </w:t>
      </w:r>
    </w:p>
    <w:p w14:paraId="3A5D1835" w14:textId="77777777" w:rsidR="008B7E8D" w:rsidRPr="00CC103C" w:rsidRDefault="008B7E8D" w:rsidP="008B7E8D">
      <w:pPr>
        <w:rPr>
          <w:b/>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467228" w14:paraId="3BC724B9" w14:textId="77777777" w:rsidTr="002C3491">
        <w:tc>
          <w:tcPr>
            <w:tcW w:w="9350" w:type="dxa"/>
            <w:gridSpan w:val="4"/>
          </w:tcPr>
          <w:p w14:paraId="20768CB0" w14:textId="77777777" w:rsidR="00467228" w:rsidRPr="008B7E8D" w:rsidRDefault="00467228" w:rsidP="00467228">
            <w:pPr>
              <w:rPr>
                <w:rFonts w:ascii="Catriel" w:hAnsi="Catriel"/>
                <w:b/>
                <w:sz w:val="28"/>
                <w:szCs w:val="28"/>
              </w:rPr>
            </w:pPr>
            <w:r w:rsidRPr="008B7E8D">
              <w:rPr>
                <w:rFonts w:ascii="Catriel" w:hAnsi="Catriel"/>
                <w:b/>
                <w:sz w:val="28"/>
                <w:szCs w:val="28"/>
              </w:rPr>
              <w:t xml:space="preserve">Domain 2: The Classroom Environment </w:t>
            </w:r>
          </w:p>
          <w:p w14:paraId="7EFFF0D5" w14:textId="77777777" w:rsidR="00467228" w:rsidRDefault="00467228" w:rsidP="00467228">
            <w:r w:rsidRPr="008B7E8D">
              <w:rPr>
                <w:rFonts w:ascii="Catriel" w:hAnsi="Catriel"/>
                <w:b/>
                <w:sz w:val="28"/>
                <w:szCs w:val="28"/>
              </w:rPr>
              <w:t>2e. Organizing Physical Space</w:t>
            </w:r>
            <w:r>
              <w:rPr>
                <w:rFonts w:ascii="Catriel" w:hAnsi="Catriel"/>
                <w:b/>
                <w:sz w:val="24"/>
                <w:szCs w:val="24"/>
              </w:rPr>
              <w:t xml:space="preserve"> </w:t>
            </w:r>
          </w:p>
        </w:tc>
      </w:tr>
      <w:tr w:rsidR="00467228" w14:paraId="4F428C65" w14:textId="77777777" w:rsidTr="00DA173B">
        <w:tc>
          <w:tcPr>
            <w:tcW w:w="9350" w:type="dxa"/>
            <w:gridSpan w:val="4"/>
          </w:tcPr>
          <w:p w14:paraId="61D8A519" w14:textId="77777777" w:rsidR="00467228" w:rsidRPr="008B7E8D" w:rsidRDefault="00467228" w:rsidP="00467228">
            <w:pPr>
              <w:rPr>
                <w:sz w:val="28"/>
                <w:szCs w:val="28"/>
              </w:rPr>
            </w:pPr>
            <w:r w:rsidRPr="008B7E8D">
              <w:rPr>
                <w:sz w:val="28"/>
                <w:szCs w:val="28"/>
              </w:rPr>
              <w:t xml:space="preserve">The teacher conducts a geometry lesson with the students in which they create diagrams of what their ideal classroom would look like. She gives them a rubric that contains criteria such as small-group and individual spaces, a quiet area, personal belongings area, and easy access to materials. Students are instructed to plot the room on graph paper, using exact room dimensions. At the close of the lesson, the students nominate their favorite elements from each design. The teacher enlists student assistance in making the changes to the physical space according to their design.  </w:t>
            </w:r>
          </w:p>
        </w:tc>
      </w:tr>
      <w:tr w:rsidR="00467228" w14:paraId="1AD87446" w14:textId="77777777" w:rsidTr="00AB0537">
        <w:tc>
          <w:tcPr>
            <w:tcW w:w="2337" w:type="dxa"/>
          </w:tcPr>
          <w:p w14:paraId="4710D023" w14:textId="77777777" w:rsidR="00467228" w:rsidRPr="008B7E8D" w:rsidRDefault="00467228" w:rsidP="00467228">
            <w:pPr>
              <w:jc w:val="center"/>
              <w:rPr>
                <w:color w:val="2F5496" w:themeColor="accent5" w:themeShade="BF"/>
                <w:sz w:val="28"/>
                <w:szCs w:val="28"/>
              </w:rPr>
            </w:pPr>
            <w:r w:rsidRPr="008B7E8D">
              <w:rPr>
                <w:color w:val="2F5496" w:themeColor="accent5" w:themeShade="BF"/>
                <w:sz w:val="28"/>
                <w:szCs w:val="28"/>
              </w:rPr>
              <w:t>Unsatisfactory</w:t>
            </w:r>
          </w:p>
        </w:tc>
        <w:tc>
          <w:tcPr>
            <w:tcW w:w="2337" w:type="dxa"/>
          </w:tcPr>
          <w:p w14:paraId="6B0DB98F" w14:textId="77777777" w:rsidR="00467228" w:rsidRPr="008B7E8D" w:rsidRDefault="00467228" w:rsidP="00467228">
            <w:pPr>
              <w:jc w:val="center"/>
              <w:rPr>
                <w:color w:val="2F5496" w:themeColor="accent5" w:themeShade="BF"/>
                <w:sz w:val="28"/>
                <w:szCs w:val="28"/>
              </w:rPr>
            </w:pPr>
            <w:r w:rsidRPr="008B7E8D">
              <w:rPr>
                <w:color w:val="2F5496" w:themeColor="accent5" w:themeShade="BF"/>
                <w:sz w:val="28"/>
                <w:szCs w:val="28"/>
              </w:rPr>
              <w:t>Basic</w:t>
            </w:r>
          </w:p>
        </w:tc>
        <w:tc>
          <w:tcPr>
            <w:tcW w:w="2338" w:type="dxa"/>
          </w:tcPr>
          <w:p w14:paraId="0894A3E8" w14:textId="77777777" w:rsidR="00467228" w:rsidRPr="008B7E8D" w:rsidRDefault="00467228" w:rsidP="00467228">
            <w:pPr>
              <w:jc w:val="center"/>
              <w:rPr>
                <w:color w:val="2F5496" w:themeColor="accent5" w:themeShade="BF"/>
                <w:sz w:val="28"/>
                <w:szCs w:val="28"/>
              </w:rPr>
            </w:pPr>
            <w:r w:rsidRPr="008B7E8D">
              <w:rPr>
                <w:color w:val="2F5496" w:themeColor="accent5" w:themeShade="BF"/>
                <w:sz w:val="28"/>
                <w:szCs w:val="28"/>
              </w:rPr>
              <w:t>Proficient</w:t>
            </w:r>
          </w:p>
        </w:tc>
        <w:tc>
          <w:tcPr>
            <w:tcW w:w="2338" w:type="dxa"/>
          </w:tcPr>
          <w:p w14:paraId="49609F9F" w14:textId="77777777" w:rsidR="00467228" w:rsidRPr="008B7E8D" w:rsidRDefault="00467228" w:rsidP="00467228">
            <w:pPr>
              <w:jc w:val="center"/>
              <w:rPr>
                <w:color w:val="2F5496" w:themeColor="accent5" w:themeShade="BF"/>
                <w:sz w:val="28"/>
                <w:szCs w:val="28"/>
              </w:rPr>
            </w:pPr>
            <w:r w:rsidRPr="008B7E8D">
              <w:rPr>
                <w:color w:val="1F4E79" w:themeColor="accent1" w:themeShade="80"/>
                <w:sz w:val="28"/>
                <w:szCs w:val="28"/>
              </w:rPr>
              <w:t>Distinguished</w:t>
            </w:r>
          </w:p>
        </w:tc>
      </w:tr>
    </w:tbl>
    <w:p w14:paraId="7CF16F47" w14:textId="77777777" w:rsidR="00AB0537" w:rsidRDefault="00AB0537"/>
    <w:sectPr w:rsidR="00AB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triel">
    <w:altName w:val="Times New Roman"/>
    <w:charset w:val="00"/>
    <w:family w:val="auto"/>
    <w:pitch w:val="variable"/>
    <w:sig w:usb0="800000AF" w:usb1="5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96"/>
    <w:rsid w:val="0001612E"/>
    <w:rsid w:val="000228FC"/>
    <w:rsid w:val="0005226D"/>
    <w:rsid w:val="00061346"/>
    <w:rsid w:val="000636E4"/>
    <w:rsid w:val="0006759B"/>
    <w:rsid w:val="000750BD"/>
    <w:rsid w:val="000759E5"/>
    <w:rsid w:val="000825F1"/>
    <w:rsid w:val="000B1A8D"/>
    <w:rsid w:val="000C74A1"/>
    <w:rsid w:val="000E65B6"/>
    <w:rsid w:val="000E7288"/>
    <w:rsid w:val="00103815"/>
    <w:rsid w:val="001132A2"/>
    <w:rsid w:val="0018593D"/>
    <w:rsid w:val="001A1A74"/>
    <w:rsid w:val="001D7B70"/>
    <w:rsid w:val="001E5018"/>
    <w:rsid w:val="001F25B5"/>
    <w:rsid w:val="001F6FA0"/>
    <w:rsid w:val="001F7389"/>
    <w:rsid w:val="00240587"/>
    <w:rsid w:val="00244E48"/>
    <w:rsid w:val="00247B63"/>
    <w:rsid w:val="002501A3"/>
    <w:rsid w:val="00254296"/>
    <w:rsid w:val="0026662A"/>
    <w:rsid w:val="00274699"/>
    <w:rsid w:val="0028148F"/>
    <w:rsid w:val="002A0E04"/>
    <w:rsid w:val="00303D02"/>
    <w:rsid w:val="003060C0"/>
    <w:rsid w:val="00365961"/>
    <w:rsid w:val="00372D7B"/>
    <w:rsid w:val="00383FED"/>
    <w:rsid w:val="003936B5"/>
    <w:rsid w:val="003A2DC0"/>
    <w:rsid w:val="003B575B"/>
    <w:rsid w:val="003C39AC"/>
    <w:rsid w:val="00403BC7"/>
    <w:rsid w:val="00404EC0"/>
    <w:rsid w:val="00406C47"/>
    <w:rsid w:val="00406F7B"/>
    <w:rsid w:val="0042011A"/>
    <w:rsid w:val="004234A7"/>
    <w:rsid w:val="00434473"/>
    <w:rsid w:val="0044596A"/>
    <w:rsid w:val="0045619B"/>
    <w:rsid w:val="00466CE5"/>
    <w:rsid w:val="00467228"/>
    <w:rsid w:val="00484B45"/>
    <w:rsid w:val="004919FE"/>
    <w:rsid w:val="004D5DCE"/>
    <w:rsid w:val="004E4900"/>
    <w:rsid w:val="00503C1D"/>
    <w:rsid w:val="00547416"/>
    <w:rsid w:val="005B0730"/>
    <w:rsid w:val="005B6385"/>
    <w:rsid w:val="005C529C"/>
    <w:rsid w:val="005F2B1F"/>
    <w:rsid w:val="00600BA2"/>
    <w:rsid w:val="00610BA5"/>
    <w:rsid w:val="0061130D"/>
    <w:rsid w:val="00616045"/>
    <w:rsid w:val="00622BA8"/>
    <w:rsid w:val="00625FD4"/>
    <w:rsid w:val="00635A18"/>
    <w:rsid w:val="00671B3E"/>
    <w:rsid w:val="0067716D"/>
    <w:rsid w:val="0068545D"/>
    <w:rsid w:val="006925A0"/>
    <w:rsid w:val="00692967"/>
    <w:rsid w:val="0071426C"/>
    <w:rsid w:val="00715240"/>
    <w:rsid w:val="0072161F"/>
    <w:rsid w:val="00742F26"/>
    <w:rsid w:val="0074607F"/>
    <w:rsid w:val="0075530F"/>
    <w:rsid w:val="00755A73"/>
    <w:rsid w:val="007706FC"/>
    <w:rsid w:val="00781B7A"/>
    <w:rsid w:val="007B0837"/>
    <w:rsid w:val="007B4E68"/>
    <w:rsid w:val="007B76B7"/>
    <w:rsid w:val="007E053F"/>
    <w:rsid w:val="007F0EA0"/>
    <w:rsid w:val="0080634F"/>
    <w:rsid w:val="00807175"/>
    <w:rsid w:val="00821695"/>
    <w:rsid w:val="008639E0"/>
    <w:rsid w:val="00863E45"/>
    <w:rsid w:val="008929DD"/>
    <w:rsid w:val="008A066D"/>
    <w:rsid w:val="008B7E8D"/>
    <w:rsid w:val="008C3CE9"/>
    <w:rsid w:val="008C6149"/>
    <w:rsid w:val="008E6ECE"/>
    <w:rsid w:val="009052E7"/>
    <w:rsid w:val="0091061D"/>
    <w:rsid w:val="0091232A"/>
    <w:rsid w:val="009370E6"/>
    <w:rsid w:val="00937BBA"/>
    <w:rsid w:val="0094603A"/>
    <w:rsid w:val="00955F18"/>
    <w:rsid w:val="00957419"/>
    <w:rsid w:val="00960C6E"/>
    <w:rsid w:val="00971E91"/>
    <w:rsid w:val="009A5A91"/>
    <w:rsid w:val="009B121B"/>
    <w:rsid w:val="009C7440"/>
    <w:rsid w:val="009E2364"/>
    <w:rsid w:val="009E7892"/>
    <w:rsid w:val="00A01EA9"/>
    <w:rsid w:val="00A201E4"/>
    <w:rsid w:val="00A36FAF"/>
    <w:rsid w:val="00A42B17"/>
    <w:rsid w:val="00A7172A"/>
    <w:rsid w:val="00AA38B9"/>
    <w:rsid w:val="00AB0537"/>
    <w:rsid w:val="00AC3889"/>
    <w:rsid w:val="00AD7CE6"/>
    <w:rsid w:val="00AF6D49"/>
    <w:rsid w:val="00B071C1"/>
    <w:rsid w:val="00B13C67"/>
    <w:rsid w:val="00B16390"/>
    <w:rsid w:val="00B42648"/>
    <w:rsid w:val="00B506D8"/>
    <w:rsid w:val="00B516C0"/>
    <w:rsid w:val="00B807E1"/>
    <w:rsid w:val="00B87074"/>
    <w:rsid w:val="00B92909"/>
    <w:rsid w:val="00BC16F4"/>
    <w:rsid w:val="00BD386C"/>
    <w:rsid w:val="00BE2FCD"/>
    <w:rsid w:val="00BF2898"/>
    <w:rsid w:val="00C23BAD"/>
    <w:rsid w:val="00C65347"/>
    <w:rsid w:val="00C7536A"/>
    <w:rsid w:val="00CA16E5"/>
    <w:rsid w:val="00CB4678"/>
    <w:rsid w:val="00CB5FB4"/>
    <w:rsid w:val="00CC103C"/>
    <w:rsid w:val="00CC4DC2"/>
    <w:rsid w:val="00D14307"/>
    <w:rsid w:val="00D53E4D"/>
    <w:rsid w:val="00D55B6D"/>
    <w:rsid w:val="00D62587"/>
    <w:rsid w:val="00D6588C"/>
    <w:rsid w:val="00D77720"/>
    <w:rsid w:val="00D77848"/>
    <w:rsid w:val="00D90659"/>
    <w:rsid w:val="00D92C39"/>
    <w:rsid w:val="00DB3A96"/>
    <w:rsid w:val="00DB56D6"/>
    <w:rsid w:val="00DC0DE2"/>
    <w:rsid w:val="00DC2EFD"/>
    <w:rsid w:val="00DD4101"/>
    <w:rsid w:val="00DE40B8"/>
    <w:rsid w:val="00DE529C"/>
    <w:rsid w:val="00DF486D"/>
    <w:rsid w:val="00DF7976"/>
    <w:rsid w:val="00E02784"/>
    <w:rsid w:val="00E10537"/>
    <w:rsid w:val="00E1228B"/>
    <w:rsid w:val="00E24637"/>
    <w:rsid w:val="00E3098A"/>
    <w:rsid w:val="00E36448"/>
    <w:rsid w:val="00E50B52"/>
    <w:rsid w:val="00E77EB7"/>
    <w:rsid w:val="00E8195B"/>
    <w:rsid w:val="00E8485C"/>
    <w:rsid w:val="00E96CAF"/>
    <w:rsid w:val="00EA66B6"/>
    <w:rsid w:val="00EB0EFC"/>
    <w:rsid w:val="00EB7C9A"/>
    <w:rsid w:val="00EC5796"/>
    <w:rsid w:val="00ED1206"/>
    <w:rsid w:val="00EE3BC8"/>
    <w:rsid w:val="00EF7C00"/>
    <w:rsid w:val="00F07537"/>
    <w:rsid w:val="00F1558E"/>
    <w:rsid w:val="00F1759B"/>
    <w:rsid w:val="00F33DC2"/>
    <w:rsid w:val="00F33F9A"/>
    <w:rsid w:val="00F53A08"/>
    <w:rsid w:val="00F63F4D"/>
    <w:rsid w:val="00F844B6"/>
    <w:rsid w:val="00FB5714"/>
    <w:rsid w:val="00FE7A58"/>
    <w:rsid w:val="00FF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18B2"/>
  <w15:chartTrackingRefBased/>
  <w15:docId w15:val="{9A03F08B-9A53-4842-BBF7-BF2E3C10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Erie 1 BOCES</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Karches, Jessica</dc:creator>
  <cp:keywords/>
  <dc:description/>
  <cp:lastModifiedBy>Tamarazio, Andrea</cp:lastModifiedBy>
  <cp:revision>2</cp:revision>
  <cp:lastPrinted>2015-11-30T19:15:00Z</cp:lastPrinted>
  <dcterms:created xsi:type="dcterms:W3CDTF">2015-12-08T18:18:00Z</dcterms:created>
  <dcterms:modified xsi:type="dcterms:W3CDTF">2015-12-08T18:18:00Z</dcterms:modified>
</cp:coreProperties>
</file>